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44" w:rsidRDefault="00260E44" w:rsidP="00260E44">
      <w:pPr>
        <w:pStyle w:val="Tytu"/>
        <w:rPr>
          <w:color w:val="993300"/>
          <w:lang w:val="pl-PL"/>
        </w:rPr>
      </w:pPr>
      <w:r>
        <w:rPr>
          <w:noProof/>
          <w:color w:val="993300"/>
          <w:lang w:val="pl-PL"/>
        </w:rPr>
        <w:drawing>
          <wp:anchor distT="0" distB="0" distL="114300" distR="114300" simplePos="0" relativeHeight="251658240" behindDoc="0" locked="0" layoutInCell="1" allowOverlap="1">
            <wp:simplePos x="0" y="0"/>
            <wp:positionH relativeFrom="column">
              <wp:posOffset>-222460</wp:posOffset>
            </wp:positionH>
            <wp:positionV relativeFrom="paragraph">
              <wp:posOffset>47957</wp:posOffset>
            </wp:positionV>
            <wp:extent cx="4125667" cy="397565"/>
            <wp:effectExtent l="0" t="0" r="8255" b="2540"/>
            <wp:wrapNone/>
            <wp:docPr id="1" name="Obraz 1" descr="BCC-poz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pozi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667" cy="397565"/>
                    </a:xfrm>
                    <a:prstGeom prst="rect">
                      <a:avLst/>
                    </a:prstGeom>
                    <a:noFill/>
                    <a:ln>
                      <a:noFill/>
                    </a:ln>
                  </pic:spPr>
                </pic:pic>
              </a:graphicData>
            </a:graphic>
          </wp:anchor>
        </w:drawing>
      </w:r>
      <w:r w:rsidRPr="009E3A88">
        <w:rPr>
          <w:b w:val="0"/>
          <w:bCs w:val="0"/>
          <w:color w:val="993300"/>
          <w:lang w:val="pl-PL"/>
        </w:rPr>
        <w:t xml:space="preserve">                                                    </w:t>
      </w:r>
      <w:r>
        <w:rPr>
          <w:noProof/>
          <w:color w:val="993300"/>
          <w:lang w:val="pl-PL"/>
        </w:rPr>
        <w:drawing>
          <wp:inline distT="0" distB="0" distL="0" distR="0">
            <wp:extent cx="1439186" cy="379001"/>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523" cy="384357"/>
                    </a:xfrm>
                    <a:prstGeom prst="rect">
                      <a:avLst/>
                    </a:prstGeom>
                    <a:noFill/>
                    <a:ln>
                      <a:noFill/>
                    </a:ln>
                  </pic:spPr>
                </pic:pic>
              </a:graphicData>
            </a:graphic>
          </wp:inline>
        </w:drawing>
      </w:r>
    </w:p>
    <w:p w:rsidR="00260E44" w:rsidRDefault="00260E44" w:rsidP="00260E44">
      <w:pPr>
        <w:pStyle w:val="Tekstpodstawowy2"/>
        <w:tabs>
          <w:tab w:val="left" w:pos="0"/>
          <w:tab w:val="left" w:pos="8647"/>
          <w:tab w:val="left" w:pos="9072"/>
        </w:tabs>
        <w:spacing w:after="120" w:line="360" w:lineRule="auto"/>
        <w:ind w:firstLine="0"/>
        <w:jc w:val="right"/>
        <w:rPr>
          <w:b w:val="0"/>
          <w:bCs w:val="0"/>
          <w:sz w:val="18"/>
          <w:szCs w:val="18"/>
        </w:rPr>
      </w:pPr>
    </w:p>
    <w:p w:rsidR="00260E44" w:rsidRDefault="00260E44" w:rsidP="00260E44">
      <w:pPr>
        <w:pStyle w:val="Tekstpodstawowy2"/>
        <w:tabs>
          <w:tab w:val="left" w:pos="-142"/>
          <w:tab w:val="left" w:pos="8647"/>
          <w:tab w:val="left" w:pos="9072"/>
        </w:tabs>
        <w:spacing w:after="120" w:line="360" w:lineRule="auto"/>
        <w:ind w:firstLine="0"/>
        <w:jc w:val="right"/>
        <w:rPr>
          <w:b w:val="0"/>
          <w:bCs w:val="0"/>
          <w:sz w:val="18"/>
          <w:szCs w:val="18"/>
        </w:rPr>
      </w:pPr>
      <w:r>
        <w:rPr>
          <w:b w:val="0"/>
          <w:bCs w:val="0"/>
          <w:sz w:val="18"/>
          <w:szCs w:val="18"/>
        </w:rPr>
        <w:t>Warszawa, 10 czerwca 2013 r.</w:t>
      </w:r>
    </w:p>
    <w:p w:rsidR="00260E44" w:rsidRPr="00260E44" w:rsidRDefault="00260E44" w:rsidP="00260E44">
      <w:pPr>
        <w:pStyle w:val="Tekstpodstawowy2"/>
        <w:pBdr>
          <w:top w:val="single" w:sz="4" w:space="1" w:color="auto"/>
          <w:left w:val="single" w:sz="4" w:space="4" w:color="auto"/>
          <w:bottom w:val="single" w:sz="4" w:space="5" w:color="auto"/>
          <w:right w:val="single" w:sz="4" w:space="4" w:color="auto"/>
        </w:pBdr>
        <w:tabs>
          <w:tab w:val="left" w:pos="0"/>
          <w:tab w:val="left" w:pos="8647"/>
          <w:tab w:val="left" w:pos="9072"/>
        </w:tabs>
        <w:ind w:firstLine="0"/>
        <w:jc w:val="center"/>
        <w:outlineLvl w:val="0"/>
        <w:rPr>
          <w:rFonts w:ascii="Times New Roman" w:hAnsi="Times New Roman" w:cs="Times New Roman"/>
          <w:smallCaps/>
          <w:color w:val="003366"/>
          <w:sz w:val="48"/>
          <w:szCs w:val="48"/>
        </w:rPr>
      </w:pPr>
      <w:r>
        <w:rPr>
          <w:rFonts w:ascii="Times New Roman" w:hAnsi="Times New Roman" w:cs="Times New Roman"/>
          <w:smallCaps/>
          <w:color w:val="003366"/>
          <w:sz w:val="48"/>
          <w:szCs w:val="48"/>
        </w:rPr>
        <w:t>Informacja Prasowa</w:t>
      </w:r>
    </w:p>
    <w:p w:rsidR="00260E44" w:rsidRPr="00260E44" w:rsidRDefault="00260E44" w:rsidP="00260E44">
      <w:pPr>
        <w:pStyle w:val="Zwykytekst"/>
        <w:rPr>
          <w:szCs w:val="20"/>
        </w:rPr>
      </w:pPr>
    </w:p>
    <w:p w:rsidR="00260E44" w:rsidRPr="00726DA3" w:rsidRDefault="00260E44" w:rsidP="00260E44">
      <w:pPr>
        <w:jc w:val="center"/>
        <w:rPr>
          <w:rFonts w:cs="Arial"/>
          <w:b/>
          <w:sz w:val="32"/>
          <w:szCs w:val="36"/>
        </w:rPr>
      </w:pPr>
      <w:r w:rsidRPr="00726DA3">
        <w:rPr>
          <w:rFonts w:eastAsia="Times New Roman" w:cs="Arial"/>
          <w:b/>
          <w:sz w:val="40"/>
          <w:szCs w:val="44"/>
        </w:rPr>
        <w:t xml:space="preserve">Ustawowa regulacja opłaty interchange – </w:t>
      </w:r>
      <w:r w:rsidRPr="00726DA3">
        <w:rPr>
          <w:rFonts w:eastAsia="Times New Roman" w:cs="Arial"/>
          <w:b/>
          <w:sz w:val="32"/>
          <w:szCs w:val="36"/>
        </w:rPr>
        <w:t>ochrona przedsiębiorców i konsumentów czy ograniczenie wolnego rynku?</w:t>
      </w:r>
    </w:p>
    <w:p w:rsidR="00260E44" w:rsidRPr="00255661" w:rsidRDefault="00260E44" w:rsidP="00260E44">
      <w:pPr>
        <w:jc w:val="both"/>
        <w:rPr>
          <w:rFonts w:eastAsia="Times New Roman"/>
          <w:b/>
        </w:rPr>
      </w:pPr>
      <w:r w:rsidRPr="00255661">
        <w:rPr>
          <w:rFonts w:eastAsia="Times New Roman"/>
          <w:b/>
        </w:rPr>
        <w:t xml:space="preserve">Jutro, 11 czerwca 2013 r. odbędzie się kolejne posiedzenie </w:t>
      </w:r>
      <w:r w:rsidR="00726DA3" w:rsidRPr="00255661">
        <w:rPr>
          <w:rFonts w:eastAsia="Times New Roman"/>
          <w:b/>
        </w:rPr>
        <w:t>P</w:t>
      </w:r>
      <w:r w:rsidRPr="00255661">
        <w:rPr>
          <w:rFonts w:eastAsia="Times New Roman"/>
          <w:b/>
        </w:rPr>
        <w:t xml:space="preserve">odkomisji </w:t>
      </w:r>
      <w:r w:rsidR="00726DA3" w:rsidRPr="00255661">
        <w:rPr>
          <w:rFonts w:eastAsia="Times New Roman"/>
          <w:b/>
        </w:rPr>
        <w:t>N</w:t>
      </w:r>
      <w:r w:rsidRPr="00255661">
        <w:rPr>
          <w:rFonts w:eastAsia="Times New Roman"/>
          <w:b/>
        </w:rPr>
        <w:t xml:space="preserve">adzwyczajnej Sejmu RP poświęconej zmianom ustawy o usługach płatniczych. Organizowana w przededniu obrad Podkomisji, przez Business Centre Club i Fundację Rozwoju Obrotu Bezgotówkowego, konferencja jest ważnym głosem w debacie publicznej na temat zasadności jak najszybszego uregulowania maksymalnej wysokości opłaty </w:t>
      </w:r>
      <w:r w:rsidRPr="00255661">
        <w:rPr>
          <w:rFonts w:eastAsia="Times New Roman"/>
          <w:b/>
          <w:i/>
        </w:rPr>
        <w:t>interchange</w:t>
      </w:r>
      <w:r w:rsidRPr="00255661">
        <w:rPr>
          <w:rFonts w:eastAsia="Times New Roman"/>
          <w:b/>
        </w:rPr>
        <w:t>. Jednocześnie, po raz pierwszy inicjuje publiczną dyskusję dotyczącą konieczności stworzenia krajowego systemu płatniczego.</w:t>
      </w:r>
    </w:p>
    <w:p w:rsidR="00260E44" w:rsidRPr="00260E44" w:rsidRDefault="00260E44" w:rsidP="00260E44">
      <w:pPr>
        <w:numPr>
          <w:ilvl w:val="0"/>
          <w:numId w:val="1"/>
        </w:numPr>
        <w:spacing w:before="100" w:beforeAutospacing="1" w:after="100" w:afterAutospacing="1" w:line="360" w:lineRule="auto"/>
        <w:rPr>
          <w:rFonts w:asciiTheme="majorHAnsi" w:eastAsia="Times New Roman" w:hAnsiTheme="majorHAnsi" w:cs="Tahoma"/>
          <w:b/>
          <w:i/>
        </w:rPr>
      </w:pPr>
      <w:r w:rsidRPr="00260E44">
        <w:rPr>
          <w:rFonts w:asciiTheme="majorHAnsi" w:eastAsia="Times New Roman" w:hAnsiTheme="majorHAnsi" w:cs="Tahoma"/>
          <w:b/>
          <w:i/>
        </w:rPr>
        <w:t xml:space="preserve">Czy interes publiczny może być nadrzędny w stosunku do wolności gospodarczej </w:t>
      </w:r>
      <w:r w:rsidR="00726DA3">
        <w:rPr>
          <w:rFonts w:asciiTheme="majorHAnsi" w:eastAsia="Times New Roman" w:hAnsiTheme="majorHAnsi" w:cs="Tahoma"/>
          <w:b/>
          <w:i/>
        </w:rPr>
        <w:t xml:space="preserve">              </w:t>
      </w:r>
      <w:r w:rsidRPr="00260E44">
        <w:rPr>
          <w:rFonts w:asciiTheme="majorHAnsi" w:eastAsia="Times New Roman" w:hAnsiTheme="majorHAnsi" w:cs="Tahoma"/>
          <w:b/>
          <w:i/>
        </w:rPr>
        <w:t xml:space="preserve">w świetle konstytucyjności zapisów o wysokości </w:t>
      </w:r>
      <w:r w:rsidRPr="00260E44">
        <w:rPr>
          <w:rFonts w:asciiTheme="majorHAnsi" w:eastAsia="Times New Roman" w:hAnsiTheme="majorHAnsi" w:cs="Tahoma"/>
          <w:b/>
          <w:i/>
          <w:iCs/>
        </w:rPr>
        <w:t>interchange?</w:t>
      </w:r>
    </w:p>
    <w:p w:rsidR="00564A91" w:rsidRDefault="00260E44" w:rsidP="00260E44">
      <w:pPr>
        <w:jc w:val="both"/>
      </w:pPr>
      <w:r w:rsidRPr="00260E44">
        <w:rPr>
          <w:rFonts w:eastAsia="Times New Roman"/>
          <w:b/>
        </w:rPr>
        <w:t>Zarówno BCC, jak i FRO</w:t>
      </w:r>
      <w:bookmarkStart w:id="0" w:name="_GoBack"/>
      <w:bookmarkEnd w:id="0"/>
      <w:r w:rsidRPr="00260E44">
        <w:rPr>
          <w:rFonts w:eastAsia="Times New Roman"/>
          <w:b/>
        </w:rPr>
        <w:t>B stoją na stanowisku</w:t>
      </w:r>
      <w:r w:rsidRPr="00260E44">
        <w:rPr>
          <w:b/>
        </w:rPr>
        <w:t xml:space="preserve">, że stawki opłaty </w:t>
      </w:r>
      <w:r w:rsidRPr="00260E44">
        <w:rPr>
          <w:b/>
          <w:i/>
        </w:rPr>
        <w:t>interchange</w:t>
      </w:r>
      <w:r w:rsidRPr="00260E44">
        <w:rPr>
          <w:b/>
        </w:rPr>
        <w:t xml:space="preserve">, powinny kształtować się pod wpływem wolnokonkurencyjnej gry rynkowej. Najlepszym regulatorem cen, z założenia, </w:t>
      </w:r>
      <w:r w:rsidRPr="00260E44">
        <w:rPr>
          <w:b/>
        </w:rPr>
        <w:br/>
        <w:t>są zawsze klasyczne siły popytu i podaży.</w:t>
      </w:r>
      <w:r w:rsidRPr="00260E44">
        <w:t xml:space="preserve">  Dotychczasowe działanie organizacji płatniczych – brak poparcia MasterCard dla Programu redukcji opłat kartowych w Polsce przygotowanego przez NBP </w:t>
      </w:r>
      <w:r w:rsidRPr="00260E44">
        <w:br/>
        <w:t>w 2012 r., jedynie symboliczne korekty wysokości prowizji od 1 stycznia 2013 roku oraz pozorne ruchy i wprowadzanie opinii publicznej w błąd w kwestii gotowości do podjęcia działań samoregulacyjnych, udowodniły jednak, że zasada ta nie</w:t>
      </w:r>
      <w:r w:rsidR="00564A91">
        <w:t xml:space="preserve"> ma w tym wypadku zastosowania.</w:t>
      </w:r>
      <w:r w:rsidRPr="00260E44">
        <w:br/>
        <w:t xml:space="preserve">Ze względu na reaktywny charakter tych działań, podejmowanych zbyt późno i w obliczu nieuchronności regulacji ustawowej, nie mogą one być traktowane, jako alternatywa dla ustawy </w:t>
      </w:r>
      <w:r w:rsidRPr="00260E44">
        <w:br/>
        <w:t xml:space="preserve">a jedynie jej uzupełnienie. </w:t>
      </w:r>
    </w:p>
    <w:p w:rsidR="00260E44" w:rsidRPr="00260E44" w:rsidRDefault="00260E44" w:rsidP="00260E44">
      <w:pPr>
        <w:jc w:val="both"/>
      </w:pPr>
      <w:r w:rsidRPr="00260E44">
        <w:t xml:space="preserve">W takiej sytuacji rolą Państwa jest obrona własnego rynku i konsumentów, do czego upoważnia je art. 76 Konstytucji RP. Za legitymizacją niezbędnych działań opowiadają się również autorzy analizy uwarunkowań ekonomicznych i prawnych ustawowej regulacji opłaty </w:t>
      </w:r>
      <w:r w:rsidRPr="00260E44">
        <w:rPr>
          <w:i/>
        </w:rPr>
        <w:t xml:space="preserve">interchange </w:t>
      </w:r>
      <w:r w:rsidRPr="00260E44">
        <w:t xml:space="preserve">przeprowadzonej przez Instytut Badań nad Gospodarką Rynkową oraz kancelarię prawną </w:t>
      </w:r>
      <w:proofErr w:type="spellStart"/>
      <w:r w:rsidRPr="00260E44">
        <w:t>Traple</w:t>
      </w:r>
      <w:proofErr w:type="spellEnd"/>
      <w:r w:rsidRPr="00260E44">
        <w:t xml:space="preserve">, Konarski, </w:t>
      </w:r>
      <w:proofErr w:type="spellStart"/>
      <w:r w:rsidRPr="00260E44">
        <w:t>Podrecki</w:t>
      </w:r>
      <w:proofErr w:type="spellEnd"/>
      <w:r w:rsidRPr="00260E44">
        <w:t xml:space="preserve"> i Wspólnicy. Zasadność tego rozwiązania potwierdza również fakt przygotowania projektów zmiany ustawy w zakresie obniżenia opłaty </w:t>
      </w:r>
      <w:r w:rsidRPr="00260E44">
        <w:rPr>
          <w:i/>
        </w:rPr>
        <w:t xml:space="preserve">interchange </w:t>
      </w:r>
      <w:r w:rsidRPr="00260E44">
        <w:t xml:space="preserve">przez prawie wszystkie partie polityczne obecne w polskim parlamencie. Jednoznaczna w swej wymowie jest także sytuacja, w której to wszyscy </w:t>
      </w:r>
      <w:r w:rsidRPr="00260E44">
        <w:rPr>
          <w:rFonts w:eastAsia="Times New Roman"/>
        </w:rPr>
        <w:t xml:space="preserve">przedstawiciele partii koalicyjnych i opozycyjnych oraz organów administracji państwowej biorący udział w pracach </w:t>
      </w:r>
      <w:r w:rsidR="00564A91">
        <w:rPr>
          <w:rFonts w:eastAsia="Times New Roman"/>
        </w:rPr>
        <w:t>po</w:t>
      </w:r>
      <w:r w:rsidRPr="00260E44">
        <w:rPr>
          <w:rFonts w:eastAsia="Times New Roman"/>
        </w:rPr>
        <w:t xml:space="preserve">dkomisji </w:t>
      </w:r>
      <w:r w:rsidR="00564A91">
        <w:rPr>
          <w:rFonts w:eastAsia="Times New Roman"/>
        </w:rPr>
        <w:t>n</w:t>
      </w:r>
      <w:r w:rsidRPr="00260E44">
        <w:rPr>
          <w:rFonts w:eastAsia="Times New Roman"/>
        </w:rPr>
        <w:t xml:space="preserve">adzwyczajnej opowiadają się za takim rozwiązaniem. </w:t>
      </w:r>
      <w:r w:rsidRPr="00260E44">
        <w:t xml:space="preserve"> </w:t>
      </w:r>
    </w:p>
    <w:p w:rsidR="00260E44" w:rsidRPr="00260E44" w:rsidRDefault="00260E44" w:rsidP="00260E44">
      <w:pPr>
        <w:jc w:val="both"/>
      </w:pPr>
      <w:r w:rsidRPr="00260E44">
        <w:rPr>
          <w:i/>
        </w:rPr>
        <w:t>„</w:t>
      </w:r>
      <w:r w:rsidRPr="00260E44">
        <w:rPr>
          <w:b/>
          <w:i/>
        </w:rPr>
        <w:t>Doświadczenia innych krajów, które obniżyły wysokość interchange w drodze decyzji administracyjnych wyraźnie wskazują, że ingerencja państwa w obronie interesu publicznego w obliczu dysfunkcyjnego charakteru rynku usług płatniczych przynosi korzyści w postaci przyspieszonego, zrównoważonego rozwoju obrotu bezgotówkowego, przyjaznego dla konsumentów i akceptantów. Tak stało się w USA, Australii oraz w Hiszpanii; teraz kolej na Polskę</w:t>
      </w:r>
      <w:r w:rsidRPr="00260E44">
        <w:t xml:space="preserve">”, mówi Rober Łaniewski, </w:t>
      </w:r>
      <w:r w:rsidR="00564A91">
        <w:t>pr</w:t>
      </w:r>
      <w:r w:rsidRPr="00260E44">
        <w:t>ezes FROB.</w:t>
      </w:r>
    </w:p>
    <w:p w:rsidR="00260E44" w:rsidRPr="00260E44" w:rsidRDefault="00260E44" w:rsidP="00260E44">
      <w:pPr>
        <w:numPr>
          <w:ilvl w:val="0"/>
          <w:numId w:val="1"/>
        </w:numPr>
        <w:spacing w:before="100" w:beforeAutospacing="1" w:after="100" w:afterAutospacing="1" w:line="240" w:lineRule="auto"/>
        <w:rPr>
          <w:rFonts w:asciiTheme="majorHAnsi" w:eastAsia="Times New Roman" w:hAnsiTheme="majorHAnsi" w:cs="Tahoma"/>
          <w:b/>
          <w:i/>
        </w:rPr>
      </w:pPr>
      <w:r w:rsidRPr="00260E44">
        <w:rPr>
          <w:rFonts w:asciiTheme="majorHAnsi" w:eastAsia="Times New Roman" w:hAnsiTheme="majorHAnsi" w:cs="Tahoma"/>
          <w:b/>
          <w:i/>
          <w:iCs/>
        </w:rPr>
        <w:lastRenderedPageBreak/>
        <w:t xml:space="preserve">Jak planowane zmiany ustawy oceniają przedsiębiorcy? </w:t>
      </w:r>
    </w:p>
    <w:p w:rsidR="00260E44" w:rsidRPr="00260E44" w:rsidRDefault="00260E44" w:rsidP="00260E44">
      <w:pPr>
        <w:spacing w:before="100" w:beforeAutospacing="1" w:after="100" w:afterAutospacing="1"/>
        <w:jc w:val="both"/>
        <w:rPr>
          <w:rFonts w:eastAsia="Times New Roman"/>
          <w:i/>
        </w:rPr>
      </w:pPr>
      <w:r w:rsidRPr="00260E44">
        <w:t xml:space="preserve">Główną korzyścią dla przedsiębiorców, wynikającą z obniżenia </w:t>
      </w:r>
      <w:r w:rsidRPr="00260E44">
        <w:rPr>
          <w:rStyle w:val="Uwydatnienie"/>
        </w:rPr>
        <w:t>interchange</w:t>
      </w:r>
      <w:r w:rsidRPr="00260E44">
        <w:t xml:space="preserve">, </w:t>
      </w:r>
      <w:r w:rsidRPr="00260E44">
        <w:rPr>
          <w:b/>
        </w:rPr>
        <w:t>jest zmniejszenie kosztów prowadzenia działalności gospodarczej. Koszty przedsiębiorców ponoszone z tytułu funkcjonowania czterostronnego systemu płatności kartowych w Polsce są zbyt wysokie i wynoszą blisko 2 miliardy złotych rocznie</w:t>
      </w:r>
      <w:r w:rsidR="00564A91">
        <w:rPr>
          <w:b/>
        </w:rPr>
        <w:t xml:space="preserve"> – </w:t>
      </w:r>
      <w:r w:rsidRPr="00260E44">
        <w:rPr>
          <w:b/>
        </w:rPr>
        <w:t xml:space="preserve">głównym składnikiem kosztów jest opłata </w:t>
      </w:r>
      <w:r w:rsidRPr="00260E44">
        <w:rPr>
          <w:b/>
          <w:i/>
        </w:rPr>
        <w:t>interchange</w:t>
      </w:r>
      <w:r w:rsidRPr="00260E44">
        <w:rPr>
          <w:b/>
        </w:rPr>
        <w:t>.</w:t>
      </w:r>
      <w:r w:rsidRPr="00260E44">
        <w:t xml:space="preserve"> Niższe stawki </w:t>
      </w:r>
      <w:r w:rsidRPr="00260E44">
        <w:rPr>
          <w:rStyle w:val="Uwydatnienie"/>
        </w:rPr>
        <w:t>interchange</w:t>
      </w:r>
      <w:r w:rsidRPr="00260E44">
        <w:t xml:space="preserve"> spowodują, że przedsiębiorcy chętniej będą umożliwiać konsumentom płatności kartą, a co za tym idzie zwiększą swoją atrakcyjność na rynku dla nowych, potencjalnych klientów. </w:t>
      </w:r>
      <w:r w:rsidRPr="00260E44">
        <w:rPr>
          <w:b/>
        </w:rPr>
        <w:t>Przedsiębiorcy mają świadomość, że zróżnicowana oferta w zakresie przyjmowania płatności, to sposób na uzyskanie przewagi konkurencyjnej i pozyskanie większej liczby klientów</w:t>
      </w:r>
      <w:r w:rsidRPr="00260E44">
        <w:t xml:space="preserve">. Dlatego przedsiębiorcy, zrzeszeni w BCC oraz reprezentowani przez FROB, z niecierpliwością oczekują zmian stawek opłaty </w:t>
      </w:r>
      <w:r w:rsidRPr="00260E44">
        <w:rPr>
          <w:i/>
        </w:rPr>
        <w:t>interchange.</w:t>
      </w:r>
      <w:r w:rsidRPr="00260E44">
        <w:t xml:space="preserve"> Za przynoszący im największe korzyści uważają senacki projekt nowelizacji ustawy o usługach płatniczych, który zakłada docelową obniżkę opłaty </w:t>
      </w:r>
      <w:r w:rsidRPr="00726DA3">
        <w:rPr>
          <w:i/>
        </w:rPr>
        <w:t>interchange</w:t>
      </w:r>
      <w:r w:rsidRPr="00260E44">
        <w:t xml:space="preserve"> do poziomu 0,5% wartości transakcji. Jednocześnie warto podkreślić, że badanie przeprowadzone w 2012 r. przez FROB, NBP oraz Wydział Zarządzania Uniwersytetu Warszawskiego pod kierunkiem dr</w:t>
      </w:r>
      <w:r w:rsidR="00564A91">
        <w:t>a</w:t>
      </w:r>
      <w:r w:rsidRPr="00260E44">
        <w:t xml:space="preserve"> Jakuba Górki, wykazało, że prawie </w:t>
      </w:r>
      <w:r w:rsidRPr="00260E44">
        <w:rPr>
          <w:b/>
        </w:rPr>
        <w:t>połowa przedsiębiorców</w:t>
      </w:r>
      <w:r w:rsidRPr="00260E44">
        <w:t xml:space="preserve">, </w:t>
      </w:r>
      <w:r w:rsidRPr="00726DA3">
        <w:rPr>
          <w:b/>
        </w:rPr>
        <w:t>którzy obecnie nie akceptują kart</w:t>
      </w:r>
      <w:r w:rsidRPr="00260E44">
        <w:t xml:space="preserve"> </w:t>
      </w:r>
      <w:r w:rsidRPr="00260E44">
        <w:rPr>
          <w:b/>
        </w:rPr>
        <w:t>byłaby skłonna wprowadzić tę formę płatności</w:t>
      </w:r>
      <w:r w:rsidRPr="00260E44">
        <w:t xml:space="preserve"> </w:t>
      </w:r>
      <w:r w:rsidRPr="00260E44">
        <w:rPr>
          <w:b/>
        </w:rPr>
        <w:t>przy spadku opłaty akceptanta do poziomu 0,25%-0,5%</w:t>
      </w:r>
      <w:r w:rsidRPr="00260E44">
        <w:t xml:space="preserve"> </w:t>
      </w:r>
      <w:r w:rsidRPr="00726DA3">
        <w:rPr>
          <w:b/>
        </w:rPr>
        <w:t>wartości transakcji</w:t>
      </w:r>
      <w:r w:rsidRPr="00260E44">
        <w:t xml:space="preserve">. Oznaczałoby to konieczność obniżenia opłaty </w:t>
      </w:r>
      <w:r w:rsidRPr="00726DA3">
        <w:rPr>
          <w:i/>
        </w:rPr>
        <w:t>interchange</w:t>
      </w:r>
      <w:r w:rsidRPr="00260E44">
        <w:t xml:space="preserve">, jako części składowej opłaty akceptanta, do poziomu 0,2% wartości transakcji. </w:t>
      </w:r>
    </w:p>
    <w:p w:rsidR="00260E44" w:rsidRPr="00260E44" w:rsidRDefault="00260E44" w:rsidP="00260E44">
      <w:pPr>
        <w:numPr>
          <w:ilvl w:val="0"/>
          <w:numId w:val="1"/>
        </w:numPr>
        <w:spacing w:before="100" w:beforeAutospacing="1" w:after="100" w:afterAutospacing="1" w:line="240" w:lineRule="auto"/>
        <w:rPr>
          <w:rFonts w:asciiTheme="majorHAnsi" w:eastAsia="Times New Roman" w:hAnsiTheme="majorHAnsi" w:cs="Tahoma"/>
          <w:b/>
          <w:i/>
        </w:rPr>
      </w:pPr>
      <w:r w:rsidRPr="00260E44">
        <w:rPr>
          <w:rFonts w:asciiTheme="majorHAnsi" w:eastAsia="Times New Roman" w:hAnsiTheme="majorHAnsi" w:cs="Tahoma"/>
          <w:b/>
          <w:i/>
        </w:rPr>
        <w:t>Od czego tak naprawdę zależy rozwój sieci akceptacji kart płatniczych?</w:t>
      </w:r>
    </w:p>
    <w:p w:rsidR="00260E44" w:rsidRPr="00564A91" w:rsidRDefault="00260E44" w:rsidP="00564A91">
      <w:pPr>
        <w:jc w:val="both"/>
        <w:rPr>
          <w:b/>
        </w:rPr>
      </w:pPr>
      <w:r w:rsidRPr="00260E44">
        <w:rPr>
          <w:b/>
        </w:rPr>
        <w:t xml:space="preserve">Praktyka wszystkich rynków, również tych, na których siły wolnorynkowe same doprowadziły do obowiązywania niskich stawek opłaty </w:t>
      </w:r>
      <w:r w:rsidRPr="00260E44">
        <w:rPr>
          <w:b/>
          <w:i/>
        </w:rPr>
        <w:t>interchange</w:t>
      </w:r>
      <w:r w:rsidRPr="00260E44">
        <w:rPr>
          <w:b/>
        </w:rPr>
        <w:t xml:space="preserve">, potwierdza istnienie silnej korelacji pomiędzy niskim poziomem opłaty </w:t>
      </w:r>
      <w:r w:rsidRPr="00260E44">
        <w:rPr>
          <w:b/>
          <w:i/>
        </w:rPr>
        <w:t>interchange</w:t>
      </w:r>
      <w:r w:rsidRPr="00260E44">
        <w:rPr>
          <w:b/>
        </w:rPr>
        <w:t xml:space="preserve"> a wysokim poziomem rozwoju obrotu bezgotówkowego.</w:t>
      </w:r>
      <w:r w:rsidRPr="00260E44">
        <w:t xml:space="preserve"> Najlepiej obrazującymi wskaźnikami rozwój obrotu bezgotówkowego w danym kraju są: liczba terminali płatniczych przypadających na 1 tysiąc mieszkańców oraz średnia liczba wykonywanych transakcji kartami w ciągu roku. </w:t>
      </w:r>
      <w:r w:rsidRPr="00260E44">
        <w:rPr>
          <w:b/>
        </w:rPr>
        <w:t>W tej chwili w Polsce te wskaźniki są dramatycznie niskie. Na tysiąc mieszkańców przypada zaledwie 6,6 terminali POS. Niższy wskaźnik odnotowano jedynie w Rumunii (5,0)</w:t>
      </w:r>
      <w:r w:rsidRPr="00260E44">
        <w:t>. Najwięcej terminali w stosunku do liczby mieszkańców funkcjonuje w Finlandii (37,5 terminali na 1 tys. mieszkańców</w:t>
      </w:r>
      <w:r w:rsidRPr="00260E44">
        <w:rPr>
          <w:b/>
        </w:rPr>
        <w:t>). Powstanie w Polsce sieci terminali POS o gęstości na obecnym poziomie UE (17,56) wymagałoby 2,7-krotnego wzrostu liczby takich urządzeń, z 251,8 tys. do ok. 670 tys</w:t>
      </w:r>
      <w:r w:rsidR="00726DA3">
        <w:rPr>
          <w:b/>
        </w:rPr>
        <w:t>.</w:t>
      </w:r>
    </w:p>
    <w:tbl>
      <w:tblPr>
        <w:tblW w:w="8788" w:type="dxa"/>
        <w:tblInd w:w="496" w:type="dxa"/>
        <w:tblLayout w:type="fixed"/>
        <w:tblCellMar>
          <w:left w:w="70" w:type="dxa"/>
          <w:right w:w="70" w:type="dxa"/>
        </w:tblCellMar>
        <w:tblLook w:val="04A0" w:firstRow="1" w:lastRow="0" w:firstColumn="1" w:lastColumn="0" w:noHBand="0" w:noVBand="1"/>
      </w:tblPr>
      <w:tblGrid>
        <w:gridCol w:w="2126"/>
        <w:gridCol w:w="3118"/>
        <w:gridCol w:w="3544"/>
      </w:tblGrid>
      <w:tr w:rsidR="00260E44" w:rsidRPr="00962F54" w:rsidTr="002F3FEF">
        <w:trPr>
          <w:trHeight w:val="855"/>
        </w:trPr>
        <w:tc>
          <w:tcPr>
            <w:tcW w:w="2126" w:type="dxa"/>
            <w:tcBorders>
              <w:top w:val="single" w:sz="4" w:space="0" w:color="95B3D7"/>
              <w:left w:val="single" w:sz="4" w:space="0" w:color="95B3D7"/>
              <w:bottom w:val="single" w:sz="4" w:space="0" w:color="95B3D7"/>
              <w:right w:val="nil"/>
            </w:tcBorders>
            <w:shd w:val="clear" w:color="4F81BD" w:fill="4F81BD"/>
            <w:vAlign w:val="center"/>
            <w:hideMark/>
          </w:tcPr>
          <w:p w:rsidR="00260E44" w:rsidRPr="00962F54" w:rsidRDefault="00260E44" w:rsidP="002F3FEF">
            <w:pPr>
              <w:jc w:val="center"/>
              <w:rPr>
                <w:rFonts w:eastAsia="Times New Roman" w:cs="Arial"/>
                <w:b/>
                <w:bCs/>
                <w:color w:val="FFFFFF"/>
              </w:rPr>
            </w:pPr>
            <w:r w:rsidRPr="00962F54">
              <w:rPr>
                <w:rFonts w:eastAsia="Times New Roman" w:cs="Arial"/>
                <w:b/>
                <w:bCs/>
                <w:color w:val="FFFFFF"/>
              </w:rPr>
              <w:t>Kraj</w:t>
            </w:r>
          </w:p>
        </w:tc>
        <w:tc>
          <w:tcPr>
            <w:tcW w:w="3118" w:type="dxa"/>
            <w:tcBorders>
              <w:top w:val="single" w:sz="4" w:space="0" w:color="95B3D7"/>
              <w:left w:val="nil"/>
              <w:bottom w:val="single" w:sz="4" w:space="0" w:color="95B3D7"/>
              <w:right w:val="nil"/>
            </w:tcBorders>
            <w:shd w:val="clear" w:color="4F81BD" w:fill="4F81BD"/>
            <w:vAlign w:val="center"/>
            <w:hideMark/>
          </w:tcPr>
          <w:p w:rsidR="00260E44" w:rsidRPr="00962F54" w:rsidRDefault="00260E44" w:rsidP="002F3FEF">
            <w:pPr>
              <w:jc w:val="center"/>
              <w:rPr>
                <w:rFonts w:eastAsia="Times New Roman" w:cs="Arial"/>
                <w:b/>
                <w:bCs/>
                <w:color w:val="FFFFFF"/>
              </w:rPr>
            </w:pPr>
            <w:r w:rsidRPr="00962F54">
              <w:rPr>
                <w:rFonts w:eastAsia="Times New Roman" w:cs="Arial"/>
                <w:b/>
                <w:bCs/>
                <w:color w:val="FFFFFF"/>
              </w:rPr>
              <w:t>stawka Interchange dla kart debetowych VISA - na koniec roku 2012</w:t>
            </w:r>
          </w:p>
        </w:tc>
        <w:tc>
          <w:tcPr>
            <w:tcW w:w="3544" w:type="dxa"/>
            <w:tcBorders>
              <w:top w:val="single" w:sz="4" w:space="0" w:color="95B3D7"/>
              <w:left w:val="nil"/>
              <w:bottom w:val="single" w:sz="4" w:space="0" w:color="95B3D7"/>
              <w:right w:val="single" w:sz="4" w:space="0" w:color="95B3D7"/>
            </w:tcBorders>
            <w:shd w:val="clear" w:color="4F81BD" w:fill="4F81BD"/>
            <w:vAlign w:val="center"/>
            <w:hideMark/>
          </w:tcPr>
          <w:p w:rsidR="00260E44" w:rsidRPr="00962F54" w:rsidRDefault="00260E44" w:rsidP="002F3FEF">
            <w:pPr>
              <w:jc w:val="center"/>
              <w:rPr>
                <w:rFonts w:eastAsia="Times New Roman" w:cs="Arial"/>
                <w:b/>
                <w:bCs/>
                <w:color w:val="FFFFFF"/>
              </w:rPr>
            </w:pPr>
            <w:r w:rsidRPr="00962F54">
              <w:rPr>
                <w:rFonts w:eastAsia="Times New Roman" w:cs="Arial"/>
                <w:b/>
                <w:bCs/>
                <w:color w:val="FFFFFF"/>
              </w:rPr>
              <w:t>liczba terminali płatniczych przypadających na 1 tys. mieszkańców</w:t>
            </w:r>
          </w:p>
        </w:tc>
      </w:tr>
      <w:tr w:rsidR="00260E44" w:rsidRPr="00962F54" w:rsidTr="002F3FEF">
        <w:trPr>
          <w:trHeight w:val="285"/>
        </w:trPr>
        <w:tc>
          <w:tcPr>
            <w:tcW w:w="2126" w:type="dxa"/>
            <w:tcBorders>
              <w:top w:val="nil"/>
              <w:left w:val="single" w:sz="4" w:space="0" w:color="95B3D7"/>
              <w:bottom w:val="single" w:sz="4" w:space="0" w:color="95B3D7"/>
              <w:right w:val="nil"/>
            </w:tcBorders>
            <w:shd w:val="clear" w:color="DBE5F1" w:fill="DBE5F1"/>
            <w:noWrap/>
            <w:vAlign w:val="bottom"/>
            <w:hideMark/>
          </w:tcPr>
          <w:p w:rsidR="00260E44" w:rsidRPr="00962F54" w:rsidRDefault="00260E44" w:rsidP="002F3FEF">
            <w:pPr>
              <w:rPr>
                <w:rFonts w:eastAsia="Times New Roman" w:cs="Arial"/>
              </w:rPr>
            </w:pPr>
            <w:r w:rsidRPr="00962F54">
              <w:rPr>
                <w:rFonts w:eastAsia="Times New Roman" w:cs="Arial"/>
              </w:rPr>
              <w:t>Finlandia</w:t>
            </w:r>
          </w:p>
        </w:tc>
        <w:tc>
          <w:tcPr>
            <w:tcW w:w="3118" w:type="dxa"/>
            <w:tcBorders>
              <w:top w:val="nil"/>
              <w:left w:val="nil"/>
              <w:bottom w:val="single" w:sz="4" w:space="0" w:color="95B3D7"/>
              <w:right w:val="nil"/>
            </w:tcBorders>
            <w:shd w:val="clear" w:color="DBE5F1" w:fill="DBE5F1"/>
            <w:noWrap/>
            <w:vAlign w:val="bottom"/>
            <w:hideMark/>
          </w:tcPr>
          <w:p w:rsidR="00260E44" w:rsidRPr="00962F54" w:rsidRDefault="00260E44" w:rsidP="002F3FEF">
            <w:pPr>
              <w:jc w:val="center"/>
              <w:rPr>
                <w:rFonts w:eastAsia="Times New Roman" w:cs="Arial"/>
              </w:rPr>
            </w:pPr>
            <w:r w:rsidRPr="00962F54">
              <w:rPr>
                <w:rFonts w:eastAsia="Times New Roman" w:cs="Arial"/>
              </w:rPr>
              <w:t>0,19%</w:t>
            </w:r>
          </w:p>
        </w:tc>
        <w:tc>
          <w:tcPr>
            <w:tcW w:w="3544" w:type="dxa"/>
            <w:tcBorders>
              <w:top w:val="nil"/>
              <w:left w:val="nil"/>
              <w:bottom w:val="single" w:sz="4" w:space="0" w:color="95B3D7"/>
              <w:right w:val="single" w:sz="4" w:space="0" w:color="95B3D7"/>
            </w:tcBorders>
            <w:shd w:val="clear" w:color="DBE5F1" w:fill="DBE5F1"/>
            <w:noWrap/>
            <w:vAlign w:val="bottom"/>
            <w:hideMark/>
          </w:tcPr>
          <w:p w:rsidR="00260E44" w:rsidRPr="00962F54" w:rsidRDefault="00260E44" w:rsidP="002F3FEF">
            <w:pPr>
              <w:jc w:val="center"/>
              <w:rPr>
                <w:rFonts w:eastAsia="Times New Roman" w:cs="Arial"/>
              </w:rPr>
            </w:pPr>
            <w:r w:rsidRPr="00962F54">
              <w:rPr>
                <w:rFonts w:eastAsia="Times New Roman" w:cs="Arial"/>
              </w:rPr>
              <w:t>37,5</w:t>
            </w:r>
          </w:p>
        </w:tc>
      </w:tr>
      <w:tr w:rsidR="00260E44" w:rsidRPr="00962F54" w:rsidTr="002F3FEF">
        <w:trPr>
          <w:trHeight w:val="285"/>
        </w:trPr>
        <w:tc>
          <w:tcPr>
            <w:tcW w:w="2126" w:type="dxa"/>
            <w:tcBorders>
              <w:top w:val="nil"/>
              <w:left w:val="single" w:sz="4" w:space="0" w:color="95B3D7"/>
              <w:bottom w:val="single" w:sz="4" w:space="0" w:color="95B3D7"/>
              <w:right w:val="nil"/>
            </w:tcBorders>
            <w:shd w:val="clear" w:color="auto" w:fill="auto"/>
            <w:noWrap/>
            <w:vAlign w:val="bottom"/>
            <w:hideMark/>
          </w:tcPr>
          <w:p w:rsidR="00260E44" w:rsidRPr="00962F54" w:rsidRDefault="00260E44" w:rsidP="002F3FEF">
            <w:pPr>
              <w:rPr>
                <w:rFonts w:eastAsia="Times New Roman" w:cs="Arial"/>
              </w:rPr>
            </w:pPr>
            <w:r w:rsidRPr="00962F54">
              <w:rPr>
                <w:rFonts w:eastAsia="Times New Roman" w:cs="Arial"/>
              </w:rPr>
              <w:t>Szwecja</w:t>
            </w:r>
          </w:p>
        </w:tc>
        <w:tc>
          <w:tcPr>
            <w:tcW w:w="3118" w:type="dxa"/>
            <w:tcBorders>
              <w:top w:val="nil"/>
              <w:left w:val="nil"/>
              <w:bottom w:val="single" w:sz="4" w:space="0" w:color="95B3D7"/>
              <w:right w:val="nil"/>
            </w:tcBorders>
            <w:shd w:val="clear" w:color="auto" w:fill="auto"/>
            <w:noWrap/>
            <w:vAlign w:val="bottom"/>
            <w:hideMark/>
          </w:tcPr>
          <w:p w:rsidR="00260E44" w:rsidRPr="00962F54" w:rsidRDefault="00260E44" w:rsidP="002F3FEF">
            <w:pPr>
              <w:jc w:val="center"/>
              <w:rPr>
                <w:rFonts w:eastAsia="Times New Roman" w:cs="Arial"/>
              </w:rPr>
            </w:pPr>
            <w:r w:rsidRPr="00962F54">
              <w:rPr>
                <w:rFonts w:eastAsia="Times New Roman" w:cs="Arial"/>
              </w:rPr>
              <w:t>0,21%</w:t>
            </w:r>
          </w:p>
        </w:tc>
        <w:tc>
          <w:tcPr>
            <w:tcW w:w="3544" w:type="dxa"/>
            <w:tcBorders>
              <w:top w:val="nil"/>
              <w:left w:val="nil"/>
              <w:bottom w:val="single" w:sz="4" w:space="0" w:color="95B3D7"/>
              <w:right w:val="single" w:sz="4" w:space="0" w:color="95B3D7"/>
            </w:tcBorders>
            <w:shd w:val="clear" w:color="auto" w:fill="auto"/>
            <w:noWrap/>
            <w:vAlign w:val="bottom"/>
            <w:hideMark/>
          </w:tcPr>
          <w:p w:rsidR="00260E44" w:rsidRPr="00962F54" w:rsidRDefault="00260E44" w:rsidP="002F3FEF">
            <w:pPr>
              <w:jc w:val="center"/>
              <w:rPr>
                <w:rFonts w:eastAsia="Times New Roman" w:cs="Arial"/>
              </w:rPr>
            </w:pPr>
            <w:r w:rsidRPr="00962F54">
              <w:rPr>
                <w:rFonts w:eastAsia="Times New Roman" w:cs="Arial"/>
              </w:rPr>
              <w:t>23,0</w:t>
            </w:r>
          </w:p>
        </w:tc>
      </w:tr>
      <w:tr w:rsidR="00260E44" w:rsidRPr="00962F54" w:rsidTr="002F3FEF">
        <w:trPr>
          <w:trHeight w:val="285"/>
        </w:trPr>
        <w:tc>
          <w:tcPr>
            <w:tcW w:w="2126" w:type="dxa"/>
            <w:tcBorders>
              <w:top w:val="nil"/>
              <w:left w:val="single" w:sz="4" w:space="0" w:color="95B3D7"/>
              <w:bottom w:val="single" w:sz="4" w:space="0" w:color="95B3D7"/>
              <w:right w:val="nil"/>
            </w:tcBorders>
            <w:shd w:val="clear" w:color="DBE5F1" w:fill="DBE5F1"/>
            <w:noWrap/>
            <w:vAlign w:val="bottom"/>
            <w:hideMark/>
          </w:tcPr>
          <w:p w:rsidR="00260E44" w:rsidRPr="00962F54" w:rsidRDefault="00260E44" w:rsidP="002F3FEF">
            <w:pPr>
              <w:rPr>
                <w:rFonts w:eastAsia="Times New Roman" w:cs="Arial"/>
              </w:rPr>
            </w:pPr>
            <w:r w:rsidRPr="00962F54">
              <w:rPr>
                <w:rFonts w:eastAsia="Times New Roman" w:cs="Arial"/>
              </w:rPr>
              <w:t>Dania</w:t>
            </w:r>
          </w:p>
        </w:tc>
        <w:tc>
          <w:tcPr>
            <w:tcW w:w="3118" w:type="dxa"/>
            <w:tcBorders>
              <w:top w:val="nil"/>
              <w:left w:val="nil"/>
              <w:bottom w:val="single" w:sz="4" w:space="0" w:color="95B3D7"/>
              <w:right w:val="nil"/>
            </w:tcBorders>
            <w:shd w:val="clear" w:color="DBE5F1" w:fill="DBE5F1"/>
            <w:noWrap/>
            <w:vAlign w:val="bottom"/>
            <w:hideMark/>
          </w:tcPr>
          <w:p w:rsidR="00260E44" w:rsidRPr="00962F54" w:rsidRDefault="00260E44" w:rsidP="002F3FEF">
            <w:pPr>
              <w:jc w:val="center"/>
              <w:rPr>
                <w:rFonts w:eastAsia="Times New Roman" w:cs="Arial"/>
              </w:rPr>
            </w:pPr>
            <w:r w:rsidRPr="00962F54">
              <w:rPr>
                <w:rFonts w:eastAsia="Times New Roman" w:cs="Arial"/>
              </w:rPr>
              <w:t>0,30%</w:t>
            </w:r>
          </w:p>
        </w:tc>
        <w:tc>
          <w:tcPr>
            <w:tcW w:w="3544" w:type="dxa"/>
            <w:tcBorders>
              <w:top w:val="nil"/>
              <w:left w:val="nil"/>
              <w:bottom w:val="single" w:sz="4" w:space="0" w:color="95B3D7"/>
              <w:right w:val="single" w:sz="4" w:space="0" w:color="95B3D7"/>
            </w:tcBorders>
            <w:shd w:val="clear" w:color="DBE5F1" w:fill="DBE5F1"/>
            <w:noWrap/>
            <w:vAlign w:val="bottom"/>
            <w:hideMark/>
          </w:tcPr>
          <w:p w:rsidR="00260E44" w:rsidRPr="00962F54" w:rsidRDefault="00260E44" w:rsidP="002F3FEF">
            <w:pPr>
              <w:jc w:val="center"/>
              <w:rPr>
                <w:rFonts w:eastAsia="Times New Roman" w:cs="Arial"/>
              </w:rPr>
            </w:pPr>
            <w:r w:rsidRPr="00962F54">
              <w:rPr>
                <w:rFonts w:eastAsia="Times New Roman" w:cs="Arial"/>
              </w:rPr>
              <w:t>21,0</w:t>
            </w:r>
          </w:p>
        </w:tc>
      </w:tr>
      <w:tr w:rsidR="00260E44" w:rsidRPr="00962F54" w:rsidTr="002F3FEF">
        <w:trPr>
          <w:trHeight w:val="285"/>
        </w:trPr>
        <w:tc>
          <w:tcPr>
            <w:tcW w:w="2126" w:type="dxa"/>
            <w:tcBorders>
              <w:top w:val="nil"/>
              <w:left w:val="single" w:sz="4" w:space="0" w:color="95B3D7"/>
              <w:bottom w:val="single" w:sz="4" w:space="0" w:color="95B3D7"/>
              <w:right w:val="nil"/>
            </w:tcBorders>
            <w:shd w:val="clear" w:color="auto" w:fill="auto"/>
            <w:noWrap/>
            <w:vAlign w:val="bottom"/>
            <w:hideMark/>
          </w:tcPr>
          <w:p w:rsidR="00260E44" w:rsidRPr="00962F54" w:rsidRDefault="00260E44" w:rsidP="002F3FEF">
            <w:pPr>
              <w:rPr>
                <w:rFonts w:eastAsia="Times New Roman" w:cs="Arial"/>
              </w:rPr>
            </w:pPr>
            <w:r w:rsidRPr="00962F54">
              <w:rPr>
                <w:rFonts w:eastAsia="Times New Roman" w:cs="Arial"/>
              </w:rPr>
              <w:t>Wielka Brytania</w:t>
            </w:r>
          </w:p>
        </w:tc>
        <w:tc>
          <w:tcPr>
            <w:tcW w:w="3118" w:type="dxa"/>
            <w:tcBorders>
              <w:top w:val="nil"/>
              <w:left w:val="nil"/>
              <w:bottom w:val="single" w:sz="4" w:space="0" w:color="95B3D7"/>
              <w:right w:val="nil"/>
            </w:tcBorders>
            <w:shd w:val="clear" w:color="auto" w:fill="auto"/>
            <w:noWrap/>
            <w:vAlign w:val="bottom"/>
            <w:hideMark/>
          </w:tcPr>
          <w:p w:rsidR="00260E44" w:rsidRPr="00962F54" w:rsidRDefault="00260E44" w:rsidP="002F3FEF">
            <w:pPr>
              <w:jc w:val="center"/>
              <w:rPr>
                <w:rFonts w:eastAsia="Times New Roman" w:cs="Arial"/>
              </w:rPr>
            </w:pPr>
            <w:r w:rsidRPr="00962F54">
              <w:rPr>
                <w:rFonts w:eastAsia="Times New Roman" w:cs="Arial"/>
              </w:rPr>
              <w:t>0,37%</w:t>
            </w:r>
          </w:p>
        </w:tc>
        <w:tc>
          <w:tcPr>
            <w:tcW w:w="3544" w:type="dxa"/>
            <w:tcBorders>
              <w:top w:val="nil"/>
              <w:left w:val="nil"/>
              <w:bottom w:val="single" w:sz="4" w:space="0" w:color="95B3D7"/>
              <w:right w:val="single" w:sz="4" w:space="0" w:color="95B3D7"/>
            </w:tcBorders>
            <w:shd w:val="clear" w:color="auto" w:fill="auto"/>
            <w:noWrap/>
            <w:vAlign w:val="bottom"/>
            <w:hideMark/>
          </w:tcPr>
          <w:p w:rsidR="00260E44" w:rsidRPr="00962F54" w:rsidRDefault="00260E44" w:rsidP="002F3FEF">
            <w:pPr>
              <w:jc w:val="center"/>
              <w:rPr>
                <w:rFonts w:eastAsia="Times New Roman" w:cs="Arial"/>
              </w:rPr>
            </w:pPr>
            <w:r w:rsidRPr="00962F54">
              <w:rPr>
                <w:rFonts w:eastAsia="Times New Roman" w:cs="Arial"/>
              </w:rPr>
              <w:t>21,0</w:t>
            </w:r>
          </w:p>
        </w:tc>
      </w:tr>
      <w:tr w:rsidR="00260E44" w:rsidRPr="00962F54" w:rsidTr="002F3FEF">
        <w:trPr>
          <w:trHeight w:val="285"/>
        </w:trPr>
        <w:tc>
          <w:tcPr>
            <w:tcW w:w="2126" w:type="dxa"/>
            <w:tcBorders>
              <w:top w:val="nil"/>
              <w:left w:val="single" w:sz="4" w:space="0" w:color="95B3D7"/>
              <w:bottom w:val="single" w:sz="4" w:space="0" w:color="95B3D7"/>
              <w:right w:val="nil"/>
            </w:tcBorders>
            <w:shd w:val="clear" w:color="DBE5F1" w:fill="DBE5F1"/>
            <w:noWrap/>
            <w:vAlign w:val="bottom"/>
            <w:hideMark/>
          </w:tcPr>
          <w:p w:rsidR="00260E44" w:rsidRPr="00962F54" w:rsidRDefault="00260E44" w:rsidP="002F3FEF">
            <w:pPr>
              <w:rPr>
                <w:rFonts w:eastAsia="Times New Roman" w:cs="Arial"/>
              </w:rPr>
            </w:pPr>
            <w:r w:rsidRPr="00962F54">
              <w:rPr>
                <w:rFonts w:eastAsia="Times New Roman" w:cs="Arial"/>
              </w:rPr>
              <w:t>średnia UE</w:t>
            </w:r>
          </w:p>
        </w:tc>
        <w:tc>
          <w:tcPr>
            <w:tcW w:w="3118" w:type="dxa"/>
            <w:tcBorders>
              <w:top w:val="nil"/>
              <w:left w:val="nil"/>
              <w:bottom w:val="single" w:sz="4" w:space="0" w:color="95B3D7"/>
              <w:right w:val="nil"/>
            </w:tcBorders>
            <w:shd w:val="clear" w:color="DBE5F1" w:fill="DBE5F1"/>
            <w:noWrap/>
            <w:vAlign w:val="bottom"/>
            <w:hideMark/>
          </w:tcPr>
          <w:p w:rsidR="00260E44" w:rsidRPr="00962F54" w:rsidRDefault="00260E44" w:rsidP="002F3FEF">
            <w:pPr>
              <w:jc w:val="center"/>
              <w:rPr>
                <w:rFonts w:eastAsia="Times New Roman" w:cs="Arial"/>
              </w:rPr>
            </w:pPr>
            <w:r w:rsidRPr="00962F54">
              <w:rPr>
                <w:rFonts w:eastAsia="Times New Roman" w:cs="Arial"/>
              </w:rPr>
              <w:t>0,72%</w:t>
            </w:r>
          </w:p>
        </w:tc>
        <w:tc>
          <w:tcPr>
            <w:tcW w:w="3544" w:type="dxa"/>
            <w:tcBorders>
              <w:top w:val="nil"/>
              <w:left w:val="nil"/>
              <w:bottom w:val="single" w:sz="4" w:space="0" w:color="95B3D7"/>
              <w:right w:val="single" w:sz="4" w:space="0" w:color="95B3D7"/>
            </w:tcBorders>
            <w:shd w:val="clear" w:color="DBE5F1" w:fill="DBE5F1"/>
            <w:noWrap/>
            <w:vAlign w:val="bottom"/>
            <w:hideMark/>
          </w:tcPr>
          <w:p w:rsidR="00260E44" w:rsidRPr="00962F54" w:rsidRDefault="00260E44" w:rsidP="002F3FEF">
            <w:pPr>
              <w:jc w:val="center"/>
              <w:rPr>
                <w:rFonts w:eastAsia="Times New Roman" w:cs="Arial"/>
              </w:rPr>
            </w:pPr>
            <w:r w:rsidRPr="00962F54">
              <w:rPr>
                <w:rFonts w:eastAsia="Times New Roman" w:cs="Arial"/>
              </w:rPr>
              <w:t>17,5</w:t>
            </w:r>
          </w:p>
        </w:tc>
      </w:tr>
      <w:tr w:rsidR="00260E44" w:rsidRPr="00962F54" w:rsidTr="002F3FEF">
        <w:trPr>
          <w:trHeight w:val="285"/>
        </w:trPr>
        <w:tc>
          <w:tcPr>
            <w:tcW w:w="2126" w:type="dxa"/>
            <w:tcBorders>
              <w:top w:val="nil"/>
              <w:left w:val="single" w:sz="4" w:space="0" w:color="95B3D7"/>
              <w:bottom w:val="single" w:sz="4" w:space="0" w:color="95B3D7"/>
              <w:right w:val="nil"/>
            </w:tcBorders>
            <w:shd w:val="clear" w:color="auto" w:fill="auto"/>
            <w:noWrap/>
            <w:vAlign w:val="bottom"/>
            <w:hideMark/>
          </w:tcPr>
          <w:p w:rsidR="00260E44" w:rsidRPr="00962F54" w:rsidRDefault="00260E44" w:rsidP="002F3FEF">
            <w:pPr>
              <w:rPr>
                <w:rFonts w:eastAsia="Times New Roman" w:cs="Arial"/>
              </w:rPr>
            </w:pPr>
            <w:r w:rsidRPr="00962F54">
              <w:rPr>
                <w:rFonts w:eastAsia="Times New Roman" w:cs="Arial"/>
              </w:rPr>
              <w:t>Polska</w:t>
            </w:r>
          </w:p>
        </w:tc>
        <w:tc>
          <w:tcPr>
            <w:tcW w:w="3118" w:type="dxa"/>
            <w:tcBorders>
              <w:top w:val="nil"/>
              <w:left w:val="nil"/>
              <w:bottom w:val="single" w:sz="4" w:space="0" w:color="95B3D7"/>
              <w:right w:val="nil"/>
            </w:tcBorders>
            <w:shd w:val="clear" w:color="auto" w:fill="auto"/>
            <w:noWrap/>
            <w:vAlign w:val="bottom"/>
            <w:hideMark/>
          </w:tcPr>
          <w:p w:rsidR="00260E44" w:rsidRPr="00962F54" w:rsidRDefault="00260E44" w:rsidP="002F3FEF">
            <w:pPr>
              <w:jc w:val="center"/>
              <w:rPr>
                <w:rFonts w:eastAsia="Times New Roman" w:cs="Arial"/>
              </w:rPr>
            </w:pPr>
            <w:r w:rsidRPr="00962F54">
              <w:rPr>
                <w:rFonts w:eastAsia="Times New Roman" w:cs="Arial"/>
              </w:rPr>
              <w:t>1,60%</w:t>
            </w:r>
          </w:p>
        </w:tc>
        <w:tc>
          <w:tcPr>
            <w:tcW w:w="3544" w:type="dxa"/>
            <w:tcBorders>
              <w:top w:val="nil"/>
              <w:left w:val="nil"/>
              <w:bottom w:val="single" w:sz="4" w:space="0" w:color="95B3D7"/>
              <w:right w:val="single" w:sz="4" w:space="0" w:color="95B3D7"/>
            </w:tcBorders>
            <w:shd w:val="clear" w:color="auto" w:fill="auto"/>
            <w:noWrap/>
            <w:vAlign w:val="bottom"/>
            <w:hideMark/>
          </w:tcPr>
          <w:p w:rsidR="00260E44" w:rsidRPr="00962F54" w:rsidRDefault="00260E44" w:rsidP="002F3FEF">
            <w:pPr>
              <w:jc w:val="center"/>
              <w:rPr>
                <w:rFonts w:eastAsia="Times New Roman" w:cs="Arial"/>
              </w:rPr>
            </w:pPr>
            <w:r w:rsidRPr="00962F54">
              <w:rPr>
                <w:rFonts w:eastAsia="Times New Roman" w:cs="Arial"/>
              </w:rPr>
              <w:t>6,6</w:t>
            </w:r>
          </w:p>
        </w:tc>
      </w:tr>
    </w:tbl>
    <w:p w:rsidR="00260E44" w:rsidRPr="00260E44" w:rsidRDefault="00260E44" w:rsidP="00260E44">
      <w:pPr>
        <w:ind w:left="360"/>
        <w:jc w:val="both"/>
        <w:rPr>
          <w:i/>
          <w:sz w:val="20"/>
          <w:szCs w:val="20"/>
        </w:rPr>
      </w:pPr>
      <w:r w:rsidRPr="00962F54">
        <w:rPr>
          <w:i/>
          <w:sz w:val="20"/>
          <w:szCs w:val="20"/>
        </w:rPr>
        <w:t>Źródło: opracowanie własne FROB</w:t>
      </w:r>
      <w:r w:rsidR="002C3FA8">
        <w:rPr>
          <w:i/>
          <w:sz w:val="20"/>
          <w:szCs w:val="20"/>
        </w:rPr>
        <w:t xml:space="preserve"> na podstawie danych NBP.</w:t>
      </w:r>
    </w:p>
    <w:p w:rsidR="00260E44" w:rsidRPr="008D341C" w:rsidRDefault="00260E44" w:rsidP="00564A91">
      <w:pPr>
        <w:pStyle w:val="Akapitzlist"/>
        <w:spacing w:line="276" w:lineRule="auto"/>
        <w:ind w:left="0"/>
        <w:jc w:val="both"/>
        <w:rPr>
          <w:rFonts w:asciiTheme="minorHAnsi" w:hAnsiTheme="minorHAnsi"/>
          <w:sz w:val="22"/>
          <w:szCs w:val="22"/>
        </w:rPr>
      </w:pPr>
      <w:r w:rsidRPr="008D341C">
        <w:rPr>
          <w:rFonts w:asciiTheme="minorHAnsi" w:hAnsiTheme="minorHAnsi"/>
          <w:sz w:val="22"/>
          <w:szCs w:val="22"/>
        </w:rPr>
        <w:lastRenderedPageBreak/>
        <w:t xml:space="preserve">Najwyższy wskaźnik liczby płatności zrealizowanych przy użyciu kart w przeliczeniu na 1 mieszkańca zaobserwowano w Szwecji i Danii (197 transakcji). W UE średni poziom wykorzystania kart płatniczych był znacznie niższy i wynosił 68 transakcji bezgotówkowych </w:t>
      </w:r>
      <w:r w:rsidRPr="008D341C">
        <w:rPr>
          <w:rFonts w:asciiTheme="minorHAnsi" w:hAnsiTheme="minorHAnsi"/>
          <w:i/>
          <w:iCs/>
          <w:sz w:val="22"/>
          <w:szCs w:val="22"/>
        </w:rPr>
        <w:t>per capita</w:t>
      </w:r>
      <w:r w:rsidRPr="008D341C">
        <w:rPr>
          <w:rFonts w:asciiTheme="minorHAnsi" w:hAnsiTheme="minorHAnsi"/>
          <w:sz w:val="22"/>
          <w:szCs w:val="22"/>
        </w:rPr>
        <w:t xml:space="preserve">. Natomiast </w:t>
      </w:r>
      <w:r>
        <w:rPr>
          <w:rFonts w:asciiTheme="minorHAnsi" w:hAnsiTheme="minorHAnsi"/>
          <w:sz w:val="22"/>
          <w:szCs w:val="22"/>
        </w:rPr>
        <w:br/>
      </w:r>
      <w:r w:rsidRPr="008D341C">
        <w:rPr>
          <w:rFonts w:asciiTheme="minorHAnsi" w:hAnsiTheme="minorHAnsi"/>
          <w:sz w:val="22"/>
          <w:szCs w:val="22"/>
        </w:rPr>
        <w:t>w Polsce liczba transakcji bezgotówkowych z wykorzystaniem tego instrumentu była 3-krotnie niższa w stosunku do średniej wartości UE.</w:t>
      </w:r>
    </w:p>
    <w:p w:rsidR="00260E44" w:rsidRPr="00962F54" w:rsidRDefault="00260E44" w:rsidP="00260E44">
      <w:pPr>
        <w:pStyle w:val="Akapitzlist"/>
        <w:ind w:left="357"/>
        <w:jc w:val="both"/>
        <w:rPr>
          <w:rFonts w:asciiTheme="minorHAnsi" w:hAnsiTheme="minorHAnsi"/>
          <w:sz w:val="22"/>
          <w:szCs w:val="22"/>
        </w:rPr>
      </w:pPr>
    </w:p>
    <w:tbl>
      <w:tblPr>
        <w:tblW w:w="8725" w:type="dxa"/>
        <w:tblInd w:w="496" w:type="dxa"/>
        <w:tblLayout w:type="fixed"/>
        <w:tblCellMar>
          <w:left w:w="70" w:type="dxa"/>
          <w:right w:w="70" w:type="dxa"/>
        </w:tblCellMar>
        <w:tblLook w:val="04A0" w:firstRow="1" w:lastRow="0" w:firstColumn="1" w:lastColumn="0" w:noHBand="0" w:noVBand="1"/>
      </w:tblPr>
      <w:tblGrid>
        <w:gridCol w:w="1984"/>
        <w:gridCol w:w="3229"/>
        <w:gridCol w:w="3512"/>
      </w:tblGrid>
      <w:tr w:rsidR="00260E44" w:rsidRPr="00962F54" w:rsidTr="002F3FEF">
        <w:trPr>
          <w:trHeight w:val="900"/>
        </w:trPr>
        <w:tc>
          <w:tcPr>
            <w:tcW w:w="1984" w:type="dxa"/>
            <w:tcBorders>
              <w:top w:val="single" w:sz="4" w:space="0" w:color="95B3D7"/>
              <w:left w:val="single" w:sz="4" w:space="0" w:color="95B3D7"/>
              <w:bottom w:val="single" w:sz="4" w:space="0" w:color="95B3D7"/>
              <w:right w:val="nil"/>
            </w:tcBorders>
            <w:shd w:val="clear" w:color="4F81BD" w:fill="4F81BD"/>
            <w:vAlign w:val="center"/>
            <w:hideMark/>
          </w:tcPr>
          <w:p w:rsidR="00260E44" w:rsidRPr="00962F54" w:rsidRDefault="00260E44" w:rsidP="002F3FEF">
            <w:pPr>
              <w:jc w:val="center"/>
              <w:rPr>
                <w:rFonts w:eastAsia="Times New Roman"/>
                <w:b/>
                <w:bCs/>
                <w:color w:val="FFFFFF"/>
              </w:rPr>
            </w:pPr>
            <w:r w:rsidRPr="00962F54">
              <w:rPr>
                <w:rFonts w:eastAsia="Times New Roman"/>
                <w:b/>
                <w:bCs/>
                <w:color w:val="FFFFFF"/>
              </w:rPr>
              <w:t>Kraj</w:t>
            </w:r>
          </w:p>
        </w:tc>
        <w:tc>
          <w:tcPr>
            <w:tcW w:w="3229" w:type="dxa"/>
            <w:tcBorders>
              <w:top w:val="single" w:sz="4" w:space="0" w:color="95B3D7"/>
              <w:left w:val="nil"/>
              <w:bottom w:val="single" w:sz="4" w:space="0" w:color="95B3D7"/>
              <w:right w:val="nil"/>
            </w:tcBorders>
            <w:shd w:val="clear" w:color="4F81BD" w:fill="4F81BD"/>
            <w:vAlign w:val="center"/>
            <w:hideMark/>
          </w:tcPr>
          <w:p w:rsidR="00260E44" w:rsidRPr="00962F54" w:rsidRDefault="00260E44" w:rsidP="002F3FEF">
            <w:pPr>
              <w:jc w:val="center"/>
              <w:rPr>
                <w:rFonts w:eastAsia="Times New Roman"/>
                <w:b/>
                <w:bCs/>
                <w:color w:val="FFFFFF"/>
              </w:rPr>
            </w:pPr>
            <w:r w:rsidRPr="00962F54">
              <w:rPr>
                <w:rFonts w:eastAsia="Times New Roman"/>
                <w:b/>
                <w:bCs/>
                <w:color w:val="FFFFFF"/>
              </w:rPr>
              <w:t>stawka Interchange dla kart debetowych VISA - na koniec roku 2012</w:t>
            </w:r>
          </w:p>
        </w:tc>
        <w:tc>
          <w:tcPr>
            <w:tcW w:w="3512" w:type="dxa"/>
            <w:tcBorders>
              <w:top w:val="single" w:sz="4" w:space="0" w:color="95B3D7"/>
              <w:left w:val="nil"/>
              <w:bottom w:val="single" w:sz="4" w:space="0" w:color="95B3D7"/>
              <w:right w:val="single" w:sz="4" w:space="0" w:color="95B3D7"/>
            </w:tcBorders>
            <w:shd w:val="clear" w:color="4F81BD" w:fill="4F81BD"/>
            <w:vAlign w:val="center"/>
            <w:hideMark/>
          </w:tcPr>
          <w:p w:rsidR="00260E44" w:rsidRPr="00962F54" w:rsidRDefault="00260E44" w:rsidP="002F3FEF">
            <w:pPr>
              <w:jc w:val="center"/>
              <w:rPr>
                <w:rFonts w:eastAsia="Times New Roman"/>
                <w:b/>
                <w:bCs/>
                <w:color w:val="FFFFFF"/>
              </w:rPr>
            </w:pPr>
            <w:r w:rsidRPr="00962F54">
              <w:rPr>
                <w:rFonts w:eastAsia="Times New Roman"/>
                <w:b/>
                <w:bCs/>
                <w:color w:val="FFFFFF"/>
              </w:rPr>
              <w:t>średnia liczba wykonywanych transakcji kartami w ciągu roku przez jednego mieszkańca</w:t>
            </w:r>
          </w:p>
        </w:tc>
      </w:tr>
      <w:tr w:rsidR="00260E44" w:rsidRPr="00962F54" w:rsidTr="002F3FEF">
        <w:trPr>
          <w:trHeight w:val="285"/>
        </w:trPr>
        <w:tc>
          <w:tcPr>
            <w:tcW w:w="1984" w:type="dxa"/>
            <w:tcBorders>
              <w:top w:val="nil"/>
              <w:left w:val="single" w:sz="4" w:space="0" w:color="95B3D7"/>
              <w:bottom w:val="single" w:sz="4" w:space="0" w:color="95B3D7"/>
              <w:right w:val="nil"/>
            </w:tcBorders>
            <w:shd w:val="clear" w:color="DBE5F1" w:fill="DBE5F1"/>
            <w:noWrap/>
            <w:vAlign w:val="bottom"/>
            <w:hideMark/>
          </w:tcPr>
          <w:p w:rsidR="00260E44" w:rsidRPr="00962F54" w:rsidRDefault="00260E44" w:rsidP="002F3FEF">
            <w:pPr>
              <w:rPr>
                <w:rFonts w:eastAsia="Times New Roman"/>
              </w:rPr>
            </w:pPr>
            <w:r w:rsidRPr="00962F54">
              <w:rPr>
                <w:rFonts w:eastAsia="Times New Roman"/>
              </w:rPr>
              <w:t>Finlandia</w:t>
            </w:r>
          </w:p>
        </w:tc>
        <w:tc>
          <w:tcPr>
            <w:tcW w:w="3229" w:type="dxa"/>
            <w:tcBorders>
              <w:top w:val="nil"/>
              <w:left w:val="nil"/>
              <w:bottom w:val="single" w:sz="4" w:space="0" w:color="95B3D7"/>
              <w:right w:val="nil"/>
            </w:tcBorders>
            <w:shd w:val="clear" w:color="DBE5F1" w:fill="DBE5F1"/>
            <w:noWrap/>
            <w:vAlign w:val="bottom"/>
            <w:hideMark/>
          </w:tcPr>
          <w:p w:rsidR="00260E44" w:rsidRPr="00962F54" w:rsidRDefault="00260E44" w:rsidP="002F3FEF">
            <w:pPr>
              <w:jc w:val="center"/>
              <w:rPr>
                <w:rFonts w:eastAsia="Times New Roman"/>
              </w:rPr>
            </w:pPr>
            <w:r w:rsidRPr="00962F54">
              <w:rPr>
                <w:rFonts w:eastAsia="Times New Roman"/>
              </w:rPr>
              <w:t>0,19%</w:t>
            </w:r>
          </w:p>
        </w:tc>
        <w:tc>
          <w:tcPr>
            <w:tcW w:w="3512" w:type="dxa"/>
            <w:tcBorders>
              <w:top w:val="nil"/>
              <w:left w:val="nil"/>
              <w:bottom w:val="single" w:sz="4" w:space="0" w:color="95B3D7"/>
              <w:right w:val="single" w:sz="4" w:space="0" w:color="95B3D7"/>
            </w:tcBorders>
            <w:shd w:val="clear" w:color="DBE5F1" w:fill="DBE5F1"/>
            <w:noWrap/>
            <w:vAlign w:val="bottom"/>
            <w:hideMark/>
          </w:tcPr>
          <w:p w:rsidR="00260E44" w:rsidRPr="00962F54" w:rsidRDefault="00260E44" w:rsidP="002F3FEF">
            <w:pPr>
              <w:jc w:val="center"/>
              <w:rPr>
                <w:rFonts w:eastAsia="Times New Roman"/>
              </w:rPr>
            </w:pPr>
            <w:r w:rsidRPr="00962F54">
              <w:rPr>
                <w:rFonts w:eastAsia="Times New Roman"/>
              </w:rPr>
              <w:t>143</w:t>
            </w:r>
          </w:p>
        </w:tc>
      </w:tr>
      <w:tr w:rsidR="00260E44" w:rsidRPr="00962F54" w:rsidTr="002F3FEF">
        <w:trPr>
          <w:trHeight w:val="285"/>
        </w:trPr>
        <w:tc>
          <w:tcPr>
            <w:tcW w:w="1984" w:type="dxa"/>
            <w:tcBorders>
              <w:top w:val="nil"/>
              <w:left w:val="single" w:sz="4" w:space="0" w:color="95B3D7"/>
              <w:bottom w:val="single" w:sz="4" w:space="0" w:color="95B3D7"/>
              <w:right w:val="nil"/>
            </w:tcBorders>
            <w:shd w:val="clear" w:color="auto" w:fill="auto"/>
            <w:noWrap/>
            <w:vAlign w:val="bottom"/>
            <w:hideMark/>
          </w:tcPr>
          <w:p w:rsidR="00260E44" w:rsidRPr="00962F54" w:rsidRDefault="00260E44" w:rsidP="002F3FEF">
            <w:pPr>
              <w:rPr>
                <w:rFonts w:eastAsia="Times New Roman"/>
              </w:rPr>
            </w:pPr>
            <w:r w:rsidRPr="00962F54">
              <w:rPr>
                <w:rFonts w:eastAsia="Times New Roman"/>
              </w:rPr>
              <w:t>Szwecja</w:t>
            </w:r>
          </w:p>
        </w:tc>
        <w:tc>
          <w:tcPr>
            <w:tcW w:w="3229" w:type="dxa"/>
            <w:tcBorders>
              <w:top w:val="nil"/>
              <w:left w:val="nil"/>
              <w:bottom w:val="single" w:sz="4" w:space="0" w:color="95B3D7"/>
              <w:right w:val="nil"/>
            </w:tcBorders>
            <w:shd w:val="clear" w:color="auto" w:fill="auto"/>
            <w:noWrap/>
            <w:vAlign w:val="bottom"/>
            <w:hideMark/>
          </w:tcPr>
          <w:p w:rsidR="00260E44" w:rsidRPr="00962F54" w:rsidRDefault="00260E44" w:rsidP="002F3FEF">
            <w:pPr>
              <w:jc w:val="center"/>
              <w:rPr>
                <w:rFonts w:eastAsia="Times New Roman"/>
              </w:rPr>
            </w:pPr>
            <w:r w:rsidRPr="00962F54">
              <w:rPr>
                <w:rFonts w:eastAsia="Times New Roman"/>
              </w:rPr>
              <w:t>0,21%</w:t>
            </w:r>
          </w:p>
        </w:tc>
        <w:tc>
          <w:tcPr>
            <w:tcW w:w="3512" w:type="dxa"/>
            <w:tcBorders>
              <w:top w:val="nil"/>
              <w:left w:val="nil"/>
              <w:bottom w:val="single" w:sz="4" w:space="0" w:color="95B3D7"/>
              <w:right w:val="single" w:sz="4" w:space="0" w:color="95B3D7"/>
            </w:tcBorders>
            <w:shd w:val="clear" w:color="auto" w:fill="auto"/>
            <w:noWrap/>
            <w:vAlign w:val="bottom"/>
            <w:hideMark/>
          </w:tcPr>
          <w:p w:rsidR="00260E44" w:rsidRPr="00962F54" w:rsidRDefault="00260E44" w:rsidP="002F3FEF">
            <w:pPr>
              <w:jc w:val="center"/>
              <w:rPr>
                <w:rFonts w:eastAsia="Times New Roman"/>
              </w:rPr>
            </w:pPr>
            <w:r w:rsidRPr="00962F54">
              <w:rPr>
                <w:rFonts w:eastAsia="Times New Roman"/>
              </w:rPr>
              <w:t>197</w:t>
            </w:r>
          </w:p>
        </w:tc>
      </w:tr>
      <w:tr w:rsidR="00260E44" w:rsidRPr="00962F54" w:rsidTr="002F3FEF">
        <w:trPr>
          <w:trHeight w:val="285"/>
        </w:trPr>
        <w:tc>
          <w:tcPr>
            <w:tcW w:w="1984" w:type="dxa"/>
            <w:tcBorders>
              <w:top w:val="nil"/>
              <w:left w:val="single" w:sz="4" w:space="0" w:color="95B3D7"/>
              <w:bottom w:val="single" w:sz="4" w:space="0" w:color="95B3D7"/>
              <w:right w:val="nil"/>
            </w:tcBorders>
            <w:shd w:val="clear" w:color="DBE5F1" w:fill="DBE5F1"/>
            <w:noWrap/>
            <w:vAlign w:val="bottom"/>
            <w:hideMark/>
          </w:tcPr>
          <w:p w:rsidR="00260E44" w:rsidRPr="00962F54" w:rsidRDefault="00260E44" w:rsidP="002F3FEF">
            <w:pPr>
              <w:rPr>
                <w:rFonts w:eastAsia="Times New Roman"/>
              </w:rPr>
            </w:pPr>
            <w:r w:rsidRPr="00962F54">
              <w:rPr>
                <w:rFonts w:eastAsia="Times New Roman"/>
              </w:rPr>
              <w:t>Dania</w:t>
            </w:r>
          </w:p>
        </w:tc>
        <w:tc>
          <w:tcPr>
            <w:tcW w:w="3229" w:type="dxa"/>
            <w:tcBorders>
              <w:top w:val="nil"/>
              <w:left w:val="nil"/>
              <w:bottom w:val="single" w:sz="4" w:space="0" w:color="95B3D7"/>
              <w:right w:val="nil"/>
            </w:tcBorders>
            <w:shd w:val="clear" w:color="DBE5F1" w:fill="DBE5F1"/>
            <w:noWrap/>
            <w:vAlign w:val="bottom"/>
            <w:hideMark/>
          </w:tcPr>
          <w:p w:rsidR="00260E44" w:rsidRPr="00962F54" w:rsidRDefault="00260E44" w:rsidP="002F3FEF">
            <w:pPr>
              <w:jc w:val="center"/>
              <w:rPr>
                <w:rFonts w:eastAsia="Times New Roman"/>
              </w:rPr>
            </w:pPr>
            <w:r w:rsidRPr="00962F54">
              <w:rPr>
                <w:rFonts w:eastAsia="Times New Roman"/>
              </w:rPr>
              <w:t>0,30%</w:t>
            </w:r>
          </w:p>
        </w:tc>
        <w:tc>
          <w:tcPr>
            <w:tcW w:w="3512" w:type="dxa"/>
            <w:tcBorders>
              <w:top w:val="nil"/>
              <w:left w:val="nil"/>
              <w:bottom w:val="single" w:sz="4" w:space="0" w:color="95B3D7"/>
              <w:right w:val="single" w:sz="4" w:space="0" w:color="95B3D7"/>
            </w:tcBorders>
            <w:shd w:val="clear" w:color="DBE5F1" w:fill="DBE5F1"/>
            <w:noWrap/>
            <w:vAlign w:val="bottom"/>
            <w:hideMark/>
          </w:tcPr>
          <w:p w:rsidR="00260E44" w:rsidRPr="00962F54" w:rsidRDefault="00260E44" w:rsidP="002F3FEF">
            <w:pPr>
              <w:jc w:val="center"/>
              <w:rPr>
                <w:rFonts w:eastAsia="Times New Roman"/>
              </w:rPr>
            </w:pPr>
            <w:r w:rsidRPr="00962F54">
              <w:rPr>
                <w:rFonts w:eastAsia="Times New Roman"/>
              </w:rPr>
              <w:t>197</w:t>
            </w:r>
          </w:p>
        </w:tc>
      </w:tr>
      <w:tr w:rsidR="00260E44" w:rsidRPr="00962F54" w:rsidTr="002F3FEF">
        <w:trPr>
          <w:trHeight w:val="285"/>
        </w:trPr>
        <w:tc>
          <w:tcPr>
            <w:tcW w:w="1984" w:type="dxa"/>
            <w:tcBorders>
              <w:top w:val="nil"/>
              <w:left w:val="single" w:sz="4" w:space="0" w:color="95B3D7"/>
              <w:bottom w:val="single" w:sz="4" w:space="0" w:color="95B3D7"/>
              <w:right w:val="nil"/>
            </w:tcBorders>
            <w:shd w:val="clear" w:color="auto" w:fill="auto"/>
            <w:noWrap/>
            <w:vAlign w:val="bottom"/>
            <w:hideMark/>
          </w:tcPr>
          <w:p w:rsidR="00260E44" w:rsidRPr="00962F54" w:rsidRDefault="00260E44" w:rsidP="002F3FEF">
            <w:pPr>
              <w:rPr>
                <w:rFonts w:eastAsia="Times New Roman"/>
              </w:rPr>
            </w:pPr>
            <w:r w:rsidRPr="00962F54">
              <w:rPr>
                <w:rFonts w:eastAsia="Times New Roman"/>
              </w:rPr>
              <w:t>Wielka Brytania</w:t>
            </w:r>
          </w:p>
        </w:tc>
        <w:tc>
          <w:tcPr>
            <w:tcW w:w="3229" w:type="dxa"/>
            <w:tcBorders>
              <w:top w:val="nil"/>
              <w:left w:val="nil"/>
              <w:bottom w:val="single" w:sz="4" w:space="0" w:color="95B3D7"/>
              <w:right w:val="nil"/>
            </w:tcBorders>
            <w:shd w:val="clear" w:color="auto" w:fill="auto"/>
            <w:noWrap/>
            <w:vAlign w:val="bottom"/>
            <w:hideMark/>
          </w:tcPr>
          <w:p w:rsidR="00260E44" w:rsidRPr="00962F54" w:rsidRDefault="00260E44" w:rsidP="002F3FEF">
            <w:pPr>
              <w:jc w:val="center"/>
              <w:rPr>
                <w:rFonts w:eastAsia="Times New Roman"/>
              </w:rPr>
            </w:pPr>
            <w:r w:rsidRPr="00962F54">
              <w:rPr>
                <w:rFonts w:eastAsia="Times New Roman"/>
              </w:rPr>
              <w:t>0,37%</w:t>
            </w:r>
          </w:p>
        </w:tc>
        <w:tc>
          <w:tcPr>
            <w:tcW w:w="3512" w:type="dxa"/>
            <w:tcBorders>
              <w:top w:val="nil"/>
              <w:left w:val="nil"/>
              <w:bottom w:val="single" w:sz="4" w:space="0" w:color="95B3D7"/>
              <w:right w:val="single" w:sz="4" w:space="0" w:color="95B3D7"/>
            </w:tcBorders>
            <w:shd w:val="clear" w:color="auto" w:fill="auto"/>
            <w:noWrap/>
            <w:vAlign w:val="bottom"/>
            <w:hideMark/>
          </w:tcPr>
          <w:p w:rsidR="00260E44" w:rsidRPr="00962F54" w:rsidRDefault="00260E44" w:rsidP="002F3FEF">
            <w:pPr>
              <w:jc w:val="center"/>
              <w:rPr>
                <w:rFonts w:eastAsia="Times New Roman"/>
              </w:rPr>
            </w:pPr>
            <w:r w:rsidRPr="00962F54">
              <w:rPr>
                <w:rFonts w:eastAsia="Times New Roman"/>
              </w:rPr>
              <w:t>142</w:t>
            </w:r>
          </w:p>
        </w:tc>
      </w:tr>
      <w:tr w:rsidR="00260E44" w:rsidRPr="00962F54" w:rsidTr="002F3FEF">
        <w:trPr>
          <w:trHeight w:val="285"/>
        </w:trPr>
        <w:tc>
          <w:tcPr>
            <w:tcW w:w="1984" w:type="dxa"/>
            <w:tcBorders>
              <w:top w:val="nil"/>
              <w:left w:val="single" w:sz="4" w:space="0" w:color="95B3D7"/>
              <w:bottom w:val="single" w:sz="4" w:space="0" w:color="95B3D7"/>
              <w:right w:val="nil"/>
            </w:tcBorders>
            <w:shd w:val="clear" w:color="DBE5F1" w:fill="DBE5F1"/>
            <w:noWrap/>
            <w:vAlign w:val="bottom"/>
            <w:hideMark/>
          </w:tcPr>
          <w:p w:rsidR="00260E44" w:rsidRPr="00962F54" w:rsidRDefault="00260E44" w:rsidP="002F3FEF">
            <w:pPr>
              <w:rPr>
                <w:rFonts w:eastAsia="Times New Roman"/>
              </w:rPr>
            </w:pPr>
            <w:r w:rsidRPr="00962F54">
              <w:rPr>
                <w:rFonts w:eastAsia="Times New Roman"/>
              </w:rPr>
              <w:t>średnia UE</w:t>
            </w:r>
          </w:p>
        </w:tc>
        <w:tc>
          <w:tcPr>
            <w:tcW w:w="3229" w:type="dxa"/>
            <w:tcBorders>
              <w:top w:val="nil"/>
              <w:left w:val="nil"/>
              <w:bottom w:val="single" w:sz="4" w:space="0" w:color="95B3D7"/>
              <w:right w:val="nil"/>
            </w:tcBorders>
            <w:shd w:val="clear" w:color="DBE5F1" w:fill="DBE5F1"/>
            <w:noWrap/>
            <w:vAlign w:val="bottom"/>
            <w:hideMark/>
          </w:tcPr>
          <w:p w:rsidR="00260E44" w:rsidRPr="00962F54" w:rsidRDefault="00260E44" w:rsidP="002F3FEF">
            <w:pPr>
              <w:jc w:val="center"/>
              <w:rPr>
                <w:rFonts w:eastAsia="Times New Roman"/>
              </w:rPr>
            </w:pPr>
            <w:r w:rsidRPr="00962F54">
              <w:rPr>
                <w:rFonts w:eastAsia="Times New Roman"/>
              </w:rPr>
              <w:t>0,72%</w:t>
            </w:r>
          </w:p>
        </w:tc>
        <w:tc>
          <w:tcPr>
            <w:tcW w:w="3512" w:type="dxa"/>
            <w:tcBorders>
              <w:top w:val="nil"/>
              <w:left w:val="nil"/>
              <w:bottom w:val="single" w:sz="4" w:space="0" w:color="95B3D7"/>
              <w:right w:val="single" w:sz="4" w:space="0" w:color="95B3D7"/>
            </w:tcBorders>
            <w:shd w:val="clear" w:color="DBE5F1" w:fill="DBE5F1"/>
            <w:noWrap/>
            <w:vAlign w:val="bottom"/>
            <w:hideMark/>
          </w:tcPr>
          <w:p w:rsidR="00260E44" w:rsidRPr="00962F54" w:rsidRDefault="00260E44" w:rsidP="002F3FEF">
            <w:pPr>
              <w:jc w:val="center"/>
              <w:rPr>
                <w:rFonts w:eastAsia="Times New Roman"/>
              </w:rPr>
            </w:pPr>
            <w:r w:rsidRPr="00962F54">
              <w:rPr>
                <w:rFonts w:eastAsia="Times New Roman"/>
              </w:rPr>
              <w:t>68</w:t>
            </w:r>
          </w:p>
        </w:tc>
      </w:tr>
      <w:tr w:rsidR="00260E44" w:rsidRPr="00962F54" w:rsidTr="002F3FEF">
        <w:trPr>
          <w:trHeight w:val="285"/>
        </w:trPr>
        <w:tc>
          <w:tcPr>
            <w:tcW w:w="1984" w:type="dxa"/>
            <w:tcBorders>
              <w:top w:val="nil"/>
              <w:left w:val="single" w:sz="4" w:space="0" w:color="95B3D7"/>
              <w:bottom w:val="single" w:sz="4" w:space="0" w:color="95B3D7"/>
              <w:right w:val="nil"/>
            </w:tcBorders>
            <w:shd w:val="clear" w:color="auto" w:fill="auto"/>
            <w:noWrap/>
            <w:vAlign w:val="bottom"/>
            <w:hideMark/>
          </w:tcPr>
          <w:p w:rsidR="00260E44" w:rsidRPr="00962F54" w:rsidRDefault="00260E44" w:rsidP="002F3FEF">
            <w:pPr>
              <w:rPr>
                <w:rFonts w:eastAsia="Times New Roman"/>
              </w:rPr>
            </w:pPr>
            <w:r w:rsidRPr="00962F54">
              <w:rPr>
                <w:rFonts w:eastAsia="Times New Roman"/>
              </w:rPr>
              <w:t>Polska</w:t>
            </w:r>
          </w:p>
        </w:tc>
        <w:tc>
          <w:tcPr>
            <w:tcW w:w="3229" w:type="dxa"/>
            <w:tcBorders>
              <w:top w:val="nil"/>
              <w:left w:val="nil"/>
              <w:bottom w:val="single" w:sz="4" w:space="0" w:color="95B3D7"/>
              <w:right w:val="nil"/>
            </w:tcBorders>
            <w:shd w:val="clear" w:color="auto" w:fill="auto"/>
            <w:noWrap/>
            <w:vAlign w:val="bottom"/>
            <w:hideMark/>
          </w:tcPr>
          <w:p w:rsidR="00260E44" w:rsidRPr="00962F54" w:rsidRDefault="00260E44" w:rsidP="002F3FEF">
            <w:pPr>
              <w:jc w:val="center"/>
              <w:rPr>
                <w:rFonts w:eastAsia="Times New Roman"/>
              </w:rPr>
            </w:pPr>
            <w:r w:rsidRPr="00962F54">
              <w:rPr>
                <w:rFonts w:eastAsia="Times New Roman"/>
              </w:rPr>
              <w:t>1,60%</w:t>
            </w:r>
          </w:p>
        </w:tc>
        <w:tc>
          <w:tcPr>
            <w:tcW w:w="3512" w:type="dxa"/>
            <w:tcBorders>
              <w:top w:val="nil"/>
              <w:left w:val="nil"/>
              <w:bottom w:val="single" w:sz="4" w:space="0" w:color="95B3D7"/>
              <w:right w:val="single" w:sz="4" w:space="0" w:color="95B3D7"/>
            </w:tcBorders>
            <w:shd w:val="clear" w:color="auto" w:fill="auto"/>
            <w:noWrap/>
            <w:vAlign w:val="bottom"/>
            <w:hideMark/>
          </w:tcPr>
          <w:p w:rsidR="00260E44" w:rsidRPr="00962F54" w:rsidRDefault="00260E44" w:rsidP="002F3FEF">
            <w:pPr>
              <w:jc w:val="center"/>
              <w:rPr>
                <w:rFonts w:eastAsia="Times New Roman"/>
              </w:rPr>
            </w:pPr>
            <w:r w:rsidRPr="00962F54">
              <w:rPr>
                <w:rFonts w:eastAsia="Times New Roman"/>
              </w:rPr>
              <w:t>23</w:t>
            </w:r>
          </w:p>
        </w:tc>
      </w:tr>
    </w:tbl>
    <w:p w:rsidR="00260E44" w:rsidRPr="00962F54" w:rsidRDefault="00260E44" w:rsidP="00260E44">
      <w:pPr>
        <w:ind w:left="360"/>
        <w:jc w:val="both"/>
        <w:rPr>
          <w:i/>
          <w:sz w:val="20"/>
          <w:szCs w:val="20"/>
        </w:rPr>
      </w:pPr>
      <w:r w:rsidRPr="00962F54">
        <w:rPr>
          <w:i/>
          <w:sz w:val="20"/>
          <w:szCs w:val="20"/>
        </w:rPr>
        <w:t xml:space="preserve">Źródło: </w:t>
      </w:r>
      <w:r w:rsidR="002C3FA8" w:rsidRPr="00962F54">
        <w:rPr>
          <w:i/>
          <w:sz w:val="20"/>
          <w:szCs w:val="20"/>
        </w:rPr>
        <w:t>opracowanie własne FROB</w:t>
      </w:r>
      <w:r w:rsidR="002C3FA8">
        <w:rPr>
          <w:i/>
          <w:sz w:val="20"/>
          <w:szCs w:val="20"/>
        </w:rPr>
        <w:t xml:space="preserve"> na podstawie danych NBP.</w:t>
      </w:r>
    </w:p>
    <w:p w:rsidR="00260E44" w:rsidRPr="008D341C" w:rsidRDefault="00260E44" w:rsidP="00564A91">
      <w:pPr>
        <w:spacing w:before="100" w:beforeAutospacing="1" w:after="100" w:afterAutospacing="1"/>
        <w:jc w:val="both"/>
        <w:rPr>
          <w:rFonts w:eastAsia="Times New Roman"/>
          <w:i/>
        </w:rPr>
      </w:pPr>
      <w:r w:rsidRPr="008D341C">
        <w:rPr>
          <w:rFonts w:ascii="Calibri" w:hAnsi="Calibri"/>
        </w:rPr>
        <w:t>Bardzo istotne jest również edukowanie społeczeństwa i przełamanie braku zaufania wobec płatności bezgotówkowych. Chociaż 66% Polaków posiada karty płatnicze</w:t>
      </w:r>
      <w:r w:rsidR="00726DA3">
        <w:rPr>
          <w:rFonts w:ascii="Calibri" w:hAnsi="Calibri"/>
        </w:rPr>
        <w:t>,</w:t>
      </w:r>
      <w:r w:rsidRPr="008D341C">
        <w:rPr>
          <w:rFonts w:ascii="Calibri" w:hAnsi="Calibri"/>
        </w:rPr>
        <w:t xml:space="preserve"> to nadal aż 90% płatności dokonywanych jest przy pomocy gotówki. Nawet przy obniżeniu stawki </w:t>
      </w:r>
      <w:r w:rsidRPr="00726DA3">
        <w:rPr>
          <w:rFonts w:ascii="Calibri" w:hAnsi="Calibri"/>
          <w:i/>
        </w:rPr>
        <w:t>interchange</w:t>
      </w:r>
      <w:r w:rsidRPr="008D341C">
        <w:rPr>
          <w:rFonts w:ascii="Calibri" w:hAnsi="Calibri"/>
        </w:rPr>
        <w:t xml:space="preserve"> do maksymalnego poziomu 0,5% przedsiębiorcy będą potrzebowali dodatkowego bodźca w postaci zapotrzebowania na tę formę dokonywania płatności wśród swoich klientów. </w:t>
      </w:r>
    </w:p>
    <w:p w:rsidR="00260E44" w:rsidRPr="00260E44" w:rsidRDefault="00260E44" w:rsidP="00564A91">
      <w:pPr>
        <w:numPr>
          <w:ilvl w:val="0"/>
          <w:numId w:val="1"/>
        </w:numPr>
        <w:spacing w:before="100" w:beforeAutospacing="1" w:after="100" w:afterAutospacing="1"/>
        <w:rPr>
          <w:rFonts w:asciiTheme="majorHAnsi" w:eastAsia="Times New Roman" w:hAnsiTheme="majorHAnsi" w:cs="Tahoma"/>
          <w:b/>
          <w:i/>
        </w:rPr>
      </w:pPr>
      <w:r w:rsidRPr="00260E44">
        <w:rPr>
          <w:rFonts w:asciiTheme="majorHAnsi" w:eastAsia="Times New Roman" w:hAnsiTheme="majorHAnsi" w:cs="Tahoma"/>
          <w:b/>
          <w:i/>
          <w:iCs/>
        </w:rPr>
        <w:t>Czy r</w:t>
      </w:r>
      <w:r w:rsidRPr="00260E44">
        <w:rPr>
          <w:rFonts w:asciiTheme="majorHAnsi" w:eastAsia="Times New Roman" w:hAnsiTheme="majorHAnsi" w:cs="Tahoma"/>
          <w:b/>
          <w:i/>
        </w:rPr>
        <w:t>ozwój obrotu bezgotówkowego jest szansą na zmniejszenie szarej strefy</w:t>
      </w:r>
      <w:r w:rsidR="00A9486D">
        <w:rPr>
          <w:rFonts w:asciiTheme="majorHAnsi" w:eastAsia="Times New Roman" w:hAnsiTheme="majorHAnsi" w:cs="Tahoma"/>
          <w:b/>
          <w:i/>
        </w:rPr>
        <w:t>?</w:t>
      </w:r>
    </w:p>
    <w:p w:rsidR="00260E44" w:rsidRPr="006A7670" w:rsidRDefault="00260E44" w:rsidP="00564A91">
      <w:pPr>
        <w:pStyle w:val="Bezodstpw"/>
        <w:spacing w:line="276" w:lineRule="auto"/>
        <w:jc w:val="both"/>
        <w:rPr>
          <w:rFonts w:asciiTheme="minorHAnsi" w:hAnsiTheme="minorHAnsi"/>
          <w:sz w:val="22"/>
          <w:szCs w:val="22"/>
        </w:rPr>
      </w:pPr>
      <w:r w:rsidRPr="0070479E">
        <w:rPr>
          <w:rFonts w:asciiTheme="minorHAnsi" w:hAnsiTheme="minorHAnsi"/>
          <w:b/>
          <w:sz w:val="22"/>
          <w:szCs w:val="22"/>
        </w:rPr>
        <w:t xml:space="preserve">Upowszechnianie obrotu bezgotówkowego, poza generowaniem bezpośrednich oszczędności dla budżetu Państwa, przynosi ponadto korzyści w postaci konieczności fiskalizacji każdej transakcji, a co za tym idzie ogranicza „szarą strefę”. </w:t>
      </w:r>
      <w:r w:rsidRPr="006A7670">
        <w:rPr>
          <w:rFonts w:asciiTheme="minorHAnsi" w:hAnsiTheme="minorHAnsi"/>
          <w:sz w:val="22"/>
          <w:szCs w:val="22"/>
        </w:rPr>
        <w:t xml:space="preserve"> </w:t>
      </w:r>
    </w:p>
    <w:p w:rsidR="00260E44" w:rsidRPr="006A7670" w:rsidRDefault="00260E44" w:rsidP="00564A91">
      <w:pPr>
        <w:pStyle w:val="Bezodstpw"/>
        <w:spacing w:line="276" w:lineRule="auto"/>
        <w:ind w:left="360"/>
        <w:jc w:val="both"/>
        <w:rPr>
          <w:rFonts w:asciiTheme="minorHAnsi" w:hAnsiTheme="minorHAnsi"/>
          <w:sz w:val="22"/>
          <w:szCs w:val="22"/>
        </w:rPr>
      </w:pPr>
    </w:p>
    <w:p w:rsidR="00260E44" w:rsidRPr="006A7670" w:rsidRDefault="00260E44" w:rsidP="00564A91">
      <w:pPr>
        <w:pStyle w:val="Bezodstpw"/>
        <w:spacing w:line="276" w:lineRule="auto"/>
        <w:jc w:val="both"/>
        <w:rPr>
          <w:rFonts w:asciiTheme="minorHAnsi" w:hAnsiTheme="minorHAnsi"/>
          <w:sz w:val="22"/>
          <w:szCs w:val="22"/>
        </w:rPr>
      </w:pPr>
      <w:r>
        <w:rPr>
          <w:rFonts w:asciiTheme="minorHAnsi" w:hAnsiTheme="minorHAnsi"/>
          <w:sz w:val="22"/>
          <w:szCs w:val="22"/>
        </w:rPr>
        <w:t>„</w:t>
      </w:r>
      <w:r w:rsidRPr="0070479E">
        <w:rPr>
          <w:rFonts w:asciiTheme="minorHAnsi" w:hAnsiTheme="minorHAnsi"/>
          <w:b/>
          <w:i/>
          <w:sz w:val="22"/>
          <w:szCs w:val="22"/>
        </w:rPr>
        <w:t>Istotne jest, że regulacyjne obniżenie maksymalnej wysokości stawki interchange jest narzędziem niewątpliwie przyczyniającym się do zmniejszenia „szarej strefy”</w:t>
      </w:r>
      <w:r w:rsidR="00A9486D">
        <w:rPr>
          <w:rFonts w:asciiTheme="minorHAnsi" w:hAnsiTheme="minorHAnsi"/>
          <w:b/>
          <w:i/>
          <w:sz w:val="22"/>
          <w:szCs w:val="22"/>
        </w:rPr>
        <w:t>,</w:t>
      </w:r>
      <w:r w:rsidRPr="0070479E">
        <w:rPr>
          <w:rFonts w:asciiTheme="minorHAnsi" w:hAnsiTheme="minorHAnsi"/>
          <w:b/>
          <w:i/>
          <w:sz w:val="22"/>
          <w:szCs w:val="22"/>
        </w:rPr>
        <w:t xml:space="preserve"> a z drugiej strony niewymagającym dużego nakładu środków. Zmiana </w:t>
      </w:r>
      <w:r>
        <w:rPr>
          <w:rFonts w:asciiTheme="minorHAnsi" w:hAnsiTheme="minorHAnsi"/>
          <w:b/>
          <w:i/>
          <w:sz w:val="22"/>
          <w:szCs w:val="22"/>
        </w:rPr>
        <w:t>tabeli</w:t>
      </w:r>
      <w:r w:rsidRPr="0070479E">
        <w:rPr>
          <w:rFonts w:asciiTheme="minorHAnsi" w:hAnsiTheme="minorHAnsi"/>
          <w:b/>
          <w:i/>
          <w:sz w:val="22"/>
          <w:szCs w:val="22"/>
        </w:rPr>
        <w:t xml:space="preserve"> opłat </w:t>
      </w:r>
      <w:r>
        <w:rPr>
          <w:rFonts w:asciiTheme="minorHAnsi" w:hAnsiTheme="minorHAnsi"/>
          <w:b/>
          <w:i/>
          <w:sz w:val="22"/>
          <w:szCs w:val="22"/>
        </w:rPr>
        <w:t xml:space="preserve">nie </w:t>
      </w:r>
      <w:r w:rsidRPr="0070479E">
        <w:rPr>
          <w:rFonts w:asciiTheme="minorHAnsi" w:hAnsiTheme="minorHAnsi"/>
          <w:b/>
          <w:i/>
          <w:sz w:val="22"/>
          <w:szCs w:val="22"/>
        </w:rPr>
        <w:t>będzie stanowiła obciążenia dla małych i średnich przedsiębiorców</w:t>
      </w:r>
      <w:r>
        <w:rPr>
          <w:rFonts w:asciiTheme="minorHAnsi" w:hAnsiTheme="minorHAnsi"/>
          <w:b/>
          <w:i/>
          <w:sz w:val="22"/>
          <w:szCs w:val="22"/>
        </w:rPr>
        <w:t>, gdyż nie wymaga inwestycji w żądne środki trwałe np. terminale”</w:t>
      </w:r>
      <w:r w:rsidR="00A9486D">
        <w:rPr>
          <w:rFonts w:asciiTheme="minorHAnsi" w:hAnsiTheme="minorHAnsi"/>
          <w:b/>
          <w:i/>
          <w:sz w:val="22"/>
          <w:szCs w:val="22"/>
        </w:rPr>
        <w:t xml:space="preserve"> </w:t>
      </w:r>
      <w:r w:rsidR="00A9486D" w:rsidRPr="00A9486D">
        <w:rPr>
          <w:rFonts w:asciiTheme="minorHAnsi" w:hAnsiTheme="minorHAnsi"/>
          <w:i/>
          <w:sz w:val="22"/>
          <w:szCs w:val="22"/>
        </w:rPr>
        <w:t xml:space="preserve">– </w:t>
      </w:r>
      <w:r w:rsidRPr="00A9486D">
        <w:rPr>
          <w:rFonts w:asciiTheme="minorHAnsi" w:hAnsiTheme="minorHAnsi"/>
          <w:sz w:val="22"/>
          <w:szCs w:val="22"/>
        </w:rPr>
        <w:t>z</w:t>
      </w:r>
      <w:r w:rsidR="00A9486D">
        <w:rPr>
          <w:rFonts w:asciiTheme="minorHAnsi" w:hAnsiTheme="minorHAnsi"/>
          <w:sz w:val="22"/>
          <w:szCs w:val="22"/>
        </w:rPr>
        <w:t>auważa Maciej Grelowski, p</w:t>
      </w:r>
      <w:r>
        <w:rPr>
          <w:rFonts w:asciiTheme="minorHAnsi" w:hAnsiTheme="minorHAnsi"/>
          <w:sz w:val="22"/>
          <w:szCs w:val="22"/>
        </w:rPr>
        <w:t>rzewodniczący Rady Głównej BCC.</w:t>
      </w:r>
    </w:p>
    <w:p w:rsidR="00260E44" w:rsidRPr="00260E44" w:rsidRDefault="00260E44" w:rsidP="00564A91">
      <w:pPr>
        <w:numPr>
          <w:ilvl w:val="0"/>
          <w:numId w:val="1"/>
        </w:numPr>
        <w:spacing w:before="100" w:beforeAutospacing="1" w:after="100" w:afterAutospacing="1"/>
        <w:rPr>
          <w:rFonts w:asciiTheme="majorHAnsi" w:eastAsia="Times New Roman" w:hAnsiTheme="majorHAnsi"/>
          <w:b/>
          <w:i/>
        </w:rPr>
      </w:pPr>
      <w:r w:rsidRPr="00260E44">
        <w:rPr>
          <w:rFonts w:asciiTheme="majorHAnsi" w:eastAsia="Times New Roman" w:hAnsiTheme="majorHAnsi"/>
          <w:b/>
          <w:i/>
        </w:rPr>
        <w:t xml:space="preserve">Czy likwidacja duopolu organizacji płatniczych i rozwój innowacyjności będzie krokiem do stworzenia </w:t>
      </w:r>
      <w:r w:rsidR="002C3FA8">
        <w:rPr>
          <w:rFonts w:asciiTheme="majorHAnsi" w:eastAsia="Times New Roman" w:hAnsiTheme="majorHAnsi"/>
          <w:b/>
          <w:i/>
        </w:rPr>
        <w:t xml:space="preserve">krajowego </w:t>
      </w:r>
      <w:r w:rsidRPr="00260E44">
        <w:rPr>
          <w:rFonts w:asciiTheme="majorHAnsi" w:eastAsia="Times New Roman" w:hAnsiTheme="majorHAnsi"/>
          <w:b/>
          <w:i/>
        </w:rPr>
        <w:t xml:space="preserve">systemu </w:t>
      </w:r>
      <w:r w:rsidR="002C3FA8">
        <w:rPr>
          <w:rFonts w:asciiTheme="majorHAnsi" w:eastAsia="Times New Roman" w:hAnsiTheme="majorHAnsi"/>
          <w:b/>
          <w:i/>
        </w:rPr>
        <w:t xml:space="preserve">płatności </w:t>
      </w:r>
      <w:r w:rsidRPr="00260E44">
        <w:rPr>
          <w:rFonts w:asciiTheme="majorHAnsi" w:eastAsia="Times New Roman" w:hAnsiTheme="majorHAnsi"/>
          <w:b/>
          <w:i/>
        </w:rPr>
        <w:t>?</w:t>
      </w:r>
    </w:p>
    <w:p w:rsidR="00260E44" w:rsidRDefault="00260E44" w:rsidP="00564A91">
      <w:pPr>
        <w:pStyle w:val="Default"/>
        <w:spacing w:after="30" w:line="276" w:lineRule="auto"/>
        <w:jc w:val="both"/>
        <w:rPr>
          <w:rFonts w:asciiTheme="minorHAnsi" w:hAnsiTheme="minorHAnsi"/>
          <w:sz w:val="22"/>
          <w:szCs w:val="22"/>
        </w:rPr>
      </w:pPr>
      <w:r w:rsidRPr="0070479E">
        <w:rPr>
          <w:rFonts w:asciiTheme="minorHAnsi" w:hAnsiTheme="minorHAnsi"/>
          <w:sz w:val="22"/>
          <w:szCs w:val="22"/>
        </w:rPr>
        <w:t>Obecne działania międzynar</w:t>
      </w:r>
      <w:r>
        <w:rPr>
          <w:rFonts w:asciiTheme="minorHAnsi" w:hAnsiTheme="minorHAnsi"/>
          <w:sz w:val="22"/>
          <w:szCs w:val="22"/>
        </w:rPr>
        <w:t>odowych organizacji płatniczych,</w:t>
      </w:r>
      <w:r w:rsidRPr="0070479E">
        <w:rPr>
          <w:rFonts w:asciiTheme="minorHAnsi" w:hAnsiTheme="minorHAnsi"/>
          <w:sz w:val="22"/>
          <w:szCs w:val="22"/>
        </w:rPr>
        <w:t xml:space="preserve"> Visa i Mastercard, mają charakter duopolu, który poprzez niedopuszczanie do rynku nowych podmiotów przyczynia się do ograniczenia zasady wolnej konkurencji oraz stanowi barierę dla dalszego, swobodnego rozwoju obrotu bezgotówkowego.  Utrzymywanie przez oba podmioty stawek opłaty </w:t>
      </w:r>
      <w:r w:rsidRPr="0070479E">
        <w:rPr>
          <w:rFonts w:asciiTheme="minorHAnsi" w:hAnsiTheme="minorHAnsi"/>
          <w:i/>
          <w:sz w:val="22"/>
          <w:szCs w:val="22"/>
        </w:rPr>
        <w:t>interchange</w:t>
      </w:r>
      <w:r w:rsidRPr="0070479E">
        <w:rPr>
          <w:rFonts w:asciiTheme="minorHAnsi" w:hAnsiTheme="minorHAnsi"/>
          <w:sz w:val="22"/>
          <w:szCs w:val="22"/>
        </w:rPr>
        <w:t xml:space="preserve"> na poziomie prawie dwukrotnie wyższym od średniej UE (1,3% versus 0,7%) przyczynia się do drastycznego podnoszenia kosztów transakcyjnych, które przy marżach detalicznych na poziomie kilku procent stanowią dla małych i średnich przedsiębiorców połowę ich </w:t>
      </w:r>
      <w:r>
        <w:rPr>
          <w:rFonts w:asciiTheme="minorHAnsi" w:hAnsiTheme="minorHAnsi"/>
          <w:sz w:val="22"/>
          <w:szCs w:val="22"/>
        </w:rPr>
        <w:t>marży z tytułu sprzedaży towarów</w:t>
      </w:r>
      <w:r w:rsidRPr="0070479E">
        <w:rPr>
          <w:rFonts w:asciiTheme="minorHAnsi" w:hAnsiTheme="minorHAnsi"/>
          <w:sz w:val="22"/>
          <w:szCs w:val="22"/>
        </w:rPr>
        <w:t xml:space="preserve">. Wysoki próg </w:t>
      </w:r>
      <w:r w:rsidRPr="0070479E">
        <w:rPr>
          <w:rFonts w:asciiTheme="minorHAnsi" w:hAnsiTheme="minorHAnsi"/>
          <w:sz w:val="22"/>
          <w:szCs w:val="22"/>
        </w:rPr>
        <w:lastRenderedPageBreak/>
        <w:t>wejścia na rynek usług płatniczych powoduje, że niemożliwe jest powstanie</w:t>
      </w:r>
      <w:r w:rsidR="00481373">
        <w:rPr>
          <w:rFonts w:asciiTheme="minorHAnsi" w:hAnsiTheme="minorHAnsi"/>
          <w:sz w:val="22"/>
          <w:szCs w:val="22"/>
        </w:rPr>
        <w:t>,</w:t>
      </w:r>
      <w:r w:rsidRPr="0070479E">
        <w:rPr>
          <w:rFonts w:asciiTheme="minorHAnsi" w:hAnsiTheme="minorHAnsi"/>
          <w:sz w:val="22"/>
          <w:szCs w:val="22"/>
        </w:rPr>
        <w:t xml:space="preserve"> a następnie efektywne funkcjonowanie nowego </w:t>
      </w:r>
      <w:r>
        <w:rPr>
          <w:rFonts w:asciiTheme="minorHAnsi" w:hAnsiTheme="minorHAnsi"/>
          <w:sz w:val="22"/>
          <w:szCs w:val="22"/>
        </w:rPr>
        <w:t xml:space="preserve">tradycyjnego, </w:t>
      </w:r>
      <w:r w:rsidRPr="0070479E">
        <w:rPr>
          <w:rFonts w:asciiTheme="minorHAnsi" w:hAnsiTheme="minorHAnsi"/>
          <w:sz w:val="22"/>
          <w:szCs w:val="22"/>
        </w:rPr>
        <w:t xml:space="preserve">systemu krajowego. </w:t>
      </w:r>
    </w:p>
    <w:p w:rsidR="00260E44" w:rsidRPr="00481373" w:rsidRDefault="00260E44" w:rsidP="00564A91">
      <w:pPr>
        <w:pStyle w:val="Default"/>
        <w:spacing w:after="30" w:line="276" w:lineRule="auto"/>
        <w:jc w:val="both"/>
        <w:rPr>
          <w:rFonts w:asciiTheme="minorHAnsi" w:hAnsiTheme="minorHAnsi"/>
          <w:b/>
          <w:sz w:val="22"/>
          <w:szCs w:val="22"/>
        </w:rPr>
      </w:pPr>
      <w:r w:rsidRPr="00481373">
        <w:rPr>
          <w:rFonts w:asciiTheme="minorHAnsi" w:hAnsiTheme="minorHAnsi"/>
          <w:sz w:val="22"/>
          <w:szCs w:val="22"/>
        </w:rPr>
        <w:t>Sprzeciw wobec polityki organizacji kartowych</w:t>
      </w:r>
      <w:r w:rsidRPr="00481373">
        <w:rPr>
          <w:rStyle w:val="Uwydatnienie"/>
          <w:rFonts w:asciiTheme="minorHAnsi" w:hAnsiTheme="minorHAnsi"/>
          <w:i w:val="0"/>
          <w:sz w:val="22"/>
          <w:szCs w:val="22"/>
        </w:rPr>
        <w:t xml:space="preserve"> już teraz stymuluje rozwój alternatywnych, innowacyjnych form płatności. Ponad 1/5 firm deklaruje dziś, że byłaby skłonna zacząć przyjmować płatności telefonem komórkowym, o ile bezpieczeństwo transakcji byłoby na poziomie podobnym do kart płatniczych a koszt akceptacji płatności byłby niższy. Ponadto już w tej chwili Polska jest </w:t>
      </w:r>
      <w:r w:rsidRPr="00481373">
        <w:rPr>
          <w:rFonts w:asciiTheme="minorHAnsi" w:hAnsiTheme="minorHAnsi"/>
          <w:sz w:val="22"/>
          <w:szCs w:val="22"/>
        </w:rPr>
        <w:t xml:space="preserve">jednym z największych światowych rynków pod względem liczby transakcji bezstykowych. </w:t>
      </w:r>
    </w:p>
    <w:p w:rsidR="00260E44" w:rsidRPr="00481373" w:rsidRDefault="00260E44" w:rsidP="00564A91">
      <w:pPr>
        <w:pStyle w:val="Default"/>
        <w:spacing w:after="30" w:line="276" w:lineRule="auto"/>
        <w:ind w:left="360"/>
        <w:jc w:val="both"/>
        <w:rPr>
          <w:rStyle w:val="Uwydatnienie"/>
          <w:rFonts w:asciiTheme="minorHAnsi" w:hAnsiTheme="minorHAnsi"/>
          <w:sz w:val="22"/>
          <w:szCs w:val="22"/>
        </w:rPr>
      </w:pPr>
    </w:p>
    <w:p w:rsidR="00260E44" w:rsidRPr="00481373" w:rsidRDefault="00726DA3" w:rsidP="00564A91">
      <w:pPr>
        <w:pStyle w:val="Default"/>
        <w:spacing w:after="30" w:line="276" w:lineRule="auto"/>
        <w:jc w:val="both"/>
        <w:rPr>
          <w:rFonts w:asciiTheme="minorHAnsi" w:hAnsiTheme="minorHAnsi"/>
          <w:sz w:val="22"/>
          <w:szCs w:val="22"/>
        </w:rPr>
      </w:pPr>
      <w:r>
        <w:rPr>
          <w:rStyle w:val="Uwydatnienie"/>
          <w:rFonts w:asciiTheme="minorHAnsi" w:hAnsiTheme="minorHAnsi"/>
          <w:sz w:val="22"/>
          <w:szCs w:val="22"/>
        </w:rPr>
        <w:t xml:space="preserve">Zdaniem </w:t>
      </w:r>
      <w:r w:rsidRPr="00481373">
        <w:rPr>
          <w:rStyle w:val="Uwydatnienie"/>
          <w:rFonts w:asciiTheme="minorHAnsi" w:hAnsiTheme="minorHAnsi"/>
          <w:sz w:val="22"/>
          <w:szCs w:val="22"/>
        </w:rPr>
        <w:t>Robert</w:t>
      </w:r>
      <w:r>
        <w:rPr>
          <w:rStyle w:val="Uwydatnienie"/>
          <w:rFonts w:asciiTheme="minorHAnsi" w:hAnsiTheme="minorHAnsi"/>
          <w:sz w:val="22"/>
          <w:szCs w:val="22"/>
        </w:rPr>
        <w:t>a</w:t>
      </w:r>
      <w:r w:rsidRPr="00481373">
        <w:rPr>
          <w:rStyle w:val="Uwydatnienie"/>
          <w:rFonts w:asciiTheme="minorHAnsi" w:hAnsiTheme="minorHAnsi"/>
          <w:sz w:val="22"/>
          <w:szCs w:val="22"/>
        </w:rPr>
        <w:t xml:space="preserve"> Łaniewski</w:t>
      </w:r>
      <w:r>
        <w:rPr>
          <w:rStyle w:val="Uwydatnienie"/>
          <w:rFonts w:asciiTheme="minorHAnsi" w:hAnsiTheme="minorHAnsi"/>
          <w:sz w:val="22"/>
          <w:szCs w:val="22"/>
        </w:rPr>
        <w:t>ego</w:t>
      </w:r>
      <w:r w:rsidRPr="00481373">
        <w:rPr>
          <w:rStyle w:val="Uwydatnienie"/>
          <w:rFonts w:asciiTheme="minorHAnsi" w:hAnsiTheme="minorHAnsi"/>
          <w:sz w:val="22"/>
          <w:szCs w:val="22"/>
        </w:rPr>
        <w:t>,</w:t>
      </w:r>
      <w:r w:rsidRPr="00481373">
        <w:rPr>
          <w:rFonts w:asciiTheme="minorHAnsi" w:hAnsiTheme="minorHAnsi"/>
          <w:sz w:val="22"/>
          <w:szCs w:val="22"/>
        </w:rPr>
        <w:t xml:space="preserve"> </w:t>
      </w:r>
      <w:r>
        <w:rPr>
          <w:rFonts w:asciiTheme="minorHAnsi" w:hAnsiTheme="minorHAnsi"/>
          <w:sz w:val="22"/>
          <w:szCs w:val="22"/>
        </w:rPr>
        <w:t>p</w:t>
      </w:r>
      <w:r w:rsidRPr="00481373">
        <w:rPr>
          <w:rFonts w:asciiTheme="minorHAnsi" w:hAnsiTheme="minorHAnsi"/>
          <w:sz w:val="22"/>
          <w:szCs w:val="22"/>
        </w:rPr>
        <w:t>rezes</w:t>
      </w:r>
      <w:r>
        <w:rPr>
          <w:rFonts w:asciiTheme="minorHAnsi" w:hAnsiTheme="minorHAnsi"/>
          <w:sz w:val="22"/>
          <w:szCs w:val="22"/>
        </w:rPr>
        <w:t>a</w:t>
      </w:r>
      <w:r w:rsidRPr="00481373">
        <w:rPr>
          <w:rFonts w:asciiTheme="minorHAnsi" w:hAnsiTheme="minorHAnsi"/>
          <w:sz w:val="22"/>
          <w:szCs w:val="22"/>
        </w:rPr>
        <w:t xml:space="preserve"> FROB</w:t>
      </w:r>
      <w:r>
        <w:rPr>
          <w:rFonts w:asciiTheme="minorHAnsi" w:hAnsiTheme="minorHAnsi"/>
          <w:sz w:val="22"/>
          <w:szCs w:val="22"/>
        </w:rPr>
        <w:t>:</w:t>
      </w:r>
      <w:r w:rsidRPr="00481373">
        <w:rPr>
          <w:rStyle w:val="Uwydatnienie"/>
          <w:rFonts w:asciiTheme="minorHAnsi" w:hAnsiTheme="minorHAnsi"/>
          <w:b/>
          <w:sz w:val="22"/>
          <w:szCs w:val="22"/>
        </w:rPr>
        <w:t xml:space="preserve"> </w:t>
      </w:r>
      <w:r w:rsidR="00260E44" w:rsidRPr="00481373">
        <w:rPr>
          <w:rStyle w:val="Uwydatnienie"/>
          <w:rFonts w:asciiTheme="minorHAnsi" w:hAnsiTheme="minorHAnsi"/>
          <w:b/>
          <w:sz w:val="22"/>
          <w:szCs w:val="22"/>
        </w:rPr>
        <w:t xml:space="preserve">„Polski rynek usług płatniczych ma ogromny potencjał i jest otwarty na rozwiązania innowacyjne w zakresie płatności bezgotówkowych. Stworzenie </w:t>
      </w:r>
      <w:r w:rsidR="00260E44" w:rsidRPr="00481373">
        <w:rPr>
          <w:rFonts w:asciiTheme="minorHAnsi" w:hAnsiTheme="minorHAnsi"/>
          <w:b/>
          <w:i/>
          <w:sz w:val="22"/>
          <w:szCs w:val="22"/>
        </w:rPr>
        <w:t xml:space="preserve">nowego, </w:t>
      </w:r>
      <w:proofErr w:type="spellStart"/>
      <w:r w:rsidR="00260E44" w:rsidRPr="00481373">
        <w:rPr>
          <w:rFonts w:asciiTheme="minorHAnsi" w:hAnsiTheme="minorHAnsi"/>
          <w:b/>
          <w:i/>
          <w:sz w:val="22"/>
          <w:szCs w:val="22"/>
        </w:rPr>
        <w:t>niskokosztowego</w:t>
      </w:r>
      <w:proofErr w:type="spellEnd"/>
      <w:r w:rsidR="00260E44" w:rsidRPr="00481373">
        <w:rPr>
          <w:rFonts w:asciiTheme="minorHAnsi" w:hAnsiTheme="minorHAnsi"/>
          <w:b/>
          <w:i/>
          <w:sz w:val="22"/>
          <w:szCs w:val="22"/>
        </w:rPr>
        <w:t xml:space="preserve"> systemu krajowego, ponad podziałami, w oparciu o płatności mobilne i dzięki wykorzystaniu wszystkich atrybutów </w:t>
      </w:r>
      <w:r w:rsidR="002C3FA8">
        <w:rPr>
          <w:rFonts w:asciiTheme="minorHAnsi" w:hAnsiTheme="minorHAnsi"/>
          <w:b/>
          <w:i/>
          <w:sz w:val="22"/>
          <w:szCs w:val="22"/>
        </w:rPr>
        <w:t>poszczególnych d</w:t>
      </w:r>
      <w:r w:rsidR="00260E44" w:rsidRPr="00481373">
        <w:rPr>
          <w:rFonts w:asciiTheme="minorHAnsi" w:hAnsiTheme="minorHAnsi"/>
          <w:b/>
          <w:i/>
          <w:sz w:val="22"/>
          <w:szCs w:val="22"/>
        </w:rPr>
        <w:t xml:space="preserve">ostawców wydaje się naturalnym i koniecznym krokiem na drodze do dostosowywania polskiego rynku do </w:t>
      </w:r>
      <w:r w:rsidR="002C3FA8">
        <w:rPr>
          <w:rFonts w:asciiTheme="minorHAnsi" w:hAnsiTheme="minorHAnsi"/>
          <w:b/>
          <w:i/>
          <w:sz w:val="22"/>
          <w:szCs w:val="22"/>
        </w:rPr>
        <w:t>potrzeb jego uczestników</w:t>
      </w:r>
      <w:r w:rsidR="00260E44" w:rsidRPr="00481373">
        <w:rPr>
          <w:rStyle w:val="Uwydatnienie"/>
          <w:rFonts w:asciiTheme="minorHAnsi" w:hAnsiTheme="minorHAnsi"/>
          <w:sz w:val="22"/>
          <w:szCs w:val="22"/>
        </w:rPr>
        <w:t>”</w:t>
      </w:r>
      <w:r w:rsidR="00260E44" w:rsidRPr="00481373">
        <w:rPr>
          <w:rFonts w:asciiTheme="minorHAnsi" w:hAnsiTheme="minorHAnsi"/>
          <w:sz w:val="22"/>
          <w:szCs w:val="22"/>
        </w:rPr>
        <w:t>.</w:t>
      </w:r>
      <w:r w:rsidR="00260E44" w:rsidRPr="00481373">
        <w:rPr>
          <w:rStyle w:val="Uwydatnienie"/>
          <w:rFonts w:asciiTheme="minorHAnsi" w:hAnsiTheme="minorHAnsi"/>
          <w:sz w:val="22"/>
          <w:szCs w:val="22"/>
        </w:rPr>
        <w:t xml:space="preserve"> </w:t>
      </w:r>
    </w:p>
    <w:p w:rsidR="00260E44" w:rsidRPr="00726DA3" w:rsidRDefault="00260E44" w:rsidP="00564A91">
      <w:pPr>
        <w:pStyle w:val="NormalnyWeb"/>
        <w:numPr>
          <w:ilvl w:val="0"/>
          <w:numId w:val="1"/>
        </w:numPr>
        <w:spacing w:line="276" w:lineRule="auto"/>
        <w:rPr>
          <w:rFonts w:asciiTheme="majorHAnsi" w:hAnsiTheme="majorHAnsi"/>
          <w:b/>
          <w:sz w:val="22"/>
          <w:szCs w:val="22"/>
        </w:rPr>
      </w:pPr>
      <w:r w:rsidRPr="00726DA3">
        <w:rPr>
          <w:rFonts w:asciiTheme="majorHAnsi" w:hAnsiTheme="majorHAnsi"/>
          <w:b/>
          <w:i/>
          <w:sz w:val="22"/>
          <w:szCs w:val="22"/>
        </w:rPr>
        <w:t xml:space="preserve">Kto (nie) zapłaci za obniżkę </w:t>
      </w:r>
      <w:r w:rsidRPr="00726DA3">
        <w:rPr>
          <w:rFonts w:asciiTheme="majorHAnsi" w:hAnsiTheme="majorHAnsi"/>
          <w:b/>
          <w:i/>
          <w:iCs/>
          <w:sz w:val="22"/>
          <w:szCs w:val="22"/>
        </w:rPr>
        <w:t>interchange</w:t>
      </w:r>
      <w:r w:rsidRPr="00726DA3">
        <w:rPr>
          <w:rFonts w:asciiTheme="majorHAnsi" w:hAnsiTheme="majorHAnsi"/>
          <w:b/>
          <w:i/>
          <w:sz w:val="22"/>
          <w:szCs w:val="22"/>
        </w:rPr>
        <w:t>?</w:t>
      </w:r>
    </w:p>
    <w:p w:rsidR="00260E44" w:rsidRPr="00481373" w:rsidRDefault="00260E44" w:rsidP="00564A91">
      <w:pPr>
        <w:jc w:val="both"/>
      </w:pPr>
      <w:r w:rsidRPr="00481373">
        <w:t xml:space="preserve">W tej chwili przeciwnicy regulacji ustawowej próbują straszyć przedsiębiorców i konsumentów wizją drastycznego wzrostu opłat pobieranych od klientów przez banki za prowadzenie konta oraz wydanie i użytkowanie karty. Wskazują przy tym bardzo chętnie na praktykę międzynarodową w krajach, które dokonywały administracyjnych zmian w wysokości opłaty </w:t>
      </w:r>
      <w:r w:rsidRPr="00481373">
        <w:rPr>
          <w:i/>
        </w:rPr>
        <w:t>interchange</w:t>
      </w:r>
      <w:r w:rsidRPr="00481373">
        <w:t xml:space="preserve"> i powołują się na oficjalne badania potwierdzające tę prawidłowość. Opinii publicznej </w:t>
      </w:r>
      <w:r w:rsidRPr="00481373">
        <w:rPr>
          <w:b/>
        </w:rPr>
        <w:t>powtarzane są jednak jedynie negatywne stereotypy wynikające ze skupienia się jedynie na fragmentach badań</w:t>
      </w:r>
      <w:r w:rsidRPr="00481373">
        <w:t xml:space="preserve"> </w:t>
      </w:r>
      <w:r w:rsidRPr="00481373">
        <w:rPr>
          <w:b/>
        </w:rPr>
        <w:t>zagłuszających wydźwięk</w:t>
      </w:r>
      <w:r w:rsidRPr="00481373">
        <w:t xml:space="preserve"> pozostałych, bardzo pozytywnych wyników</w:t>
      </w:r>
      <w:r w:rsidR="00481373">
        <w:t>.</w:t>
      </w:r>
    </w:p>
    <w:p w:rsidR="00260E44" w:rsidRDefault="00726DA3" w:rsidP="00564A91">
      <w:pPr>
        <w:jc w:val="both"/>
        <w:rPr>
          <w:b/>
          <w:i/>
        </w:rPr>
      </w:pPr>
      <w:r>
        <w:t xml:space="preserve">Maciej Grelowski, Przewodniczący Rady Głównej BCC: </w:t>
      </w:r>
      <w:r w:rsidR="00260E44" w:rsidRPr="00481373">
        <w:rPr>
          <w:rFonts w:cs="Calibri"/>
          <w:b/>
          <w:i/>
        </w:rPr>
        <w:t xml:space="preserve">„W </w:t>
      </w:r>
      <w:r w:rsidR="00260E44" w:rsidRPr="00481373">
        <w:rPr>
          <w:b/>
          <w:i/>
        </w:rPr>
        <w:t xml:space="preserve">przeciwieństwie do duopolu panującego w Polsce na rynku płatności kartowych rynek bankowy charakteryzuje się bardzo dużą konkurencyjnością. </w:t>
      </w:r>
      <w:r w:rsidR="00260E44" w:rsidRPr="00481373">
        <w:rPr>
          <w:i/>
        </w:rPr>
        <w:t>Na obniżeniu stawki interchange banki niewątpliwie stracą</w:t>
      </w:r>
      <w:r w:rsidR="009E3A88">
        <w:rPr>
          <w:i/>
        </w:rPr>
        <w:t xml:space="preserve"> w krótkim terminie, ale oczekiwane</w:t>
      </w:r>
      <w:r w:rsidR="007343A6">
        <w:rPr>
          <w:i/>
        </w:rPr>
        <w:t>,</w:t>
      </w:r>
      <w:r w:rsidR="009E3A88">
        <w:rPr>
          <w:i/>
        </w:rPr>
        <w:t xml:space="preserve"> znaczące powiększenie obszaru płatności bezgotówkowych z nawiązką zrekompensuje powstałe w pierwszym okresie stra</w:t>
      </w:r>
      <w:r w:rsidR="007343A6">
        <w:rPr>
          <w:i/>
        </w:rPr>
        <w:t>ty.</w:t>
      </w:r>
      <w:r w:rsidR="004745C9">
        <w:rPr>
          <w:i/>
        </w:rPr>
        <w:t xml:space="preserve"> </w:t>
      </w:r>
      <w:r w:rsidR="004745C9">
        <w:rPr>
          <w:b/>
          <w:i/>
        </w:rPr>
        <w:t>Mam nadzieję, że świadomość, iż</w:t>
      </w:r>
      <w:r w:rsidR="00260E44" w:rsidRPr="00481373">
        <w:rPr>
          <w:b/>
          <w:i/>
        </w:rPr>
        <w:t xml:space="preserve"> klient może swobodnie wybrać bank, z którego usług chce korzystać powstrzyma je przed podwyższaniem opłat a co za tym idzie zapobiegnie utracie przez nich klientów</w:t>
      </w:r>
      <w:r>
        <w:rPr>
          <w:b/>
          <w:i/>
        </w:rPr>
        <w:t>”.</w:t>
      </w:r>
    </w:p>
    <w:p w:rsidR="004745C9" w:rsidRPr="00260E44" w:rsidRDefault="004745C9" w:rsidP="00564A91">
      <w:pPr>
        <w:jc w:val="both"/>
      </w:pPr>
    </w:p>
    <w:p w:rsidR="00260E44" w:rsidRPr="00564A91" w:rsidRDefault="00260E44" w:rsidP="00260E44">
      <w:pPr>
        <w:pStyle w:val="Zwykytekst"/>
        <w:rPr>
          <w:rFonts w:ascii="Arial" w:hAnsi="Arial" w:cs="Arial"/>
          <w:sz w:val="20"/>
          <w:szCs w:val="20"/>
          <w:u w:val="single"/>
        </w:rPr>
      </w:pPr>
      <w:r w:rsidRPr="00564A91">
        <w:rPr>
          <w:rFonts w:ascii="Arial" w:hAnsi="Arial" w:cs="Arial"/>
          <w:sz w:val="20"/>
          <w:szCs w:val="20"/>
          <w:u w:val="single"/>
        </w:rPr>
        <w:t>Kontakt:</w:t>
      </w:r>
    </w:p>
    <w:p w:rsidR="00260E44" w:rsidRPr="00260E44" w:rsidRDefault="00260E44" w:rsidP="00260E44">
      <w:pPr>
        <w:pStyle w:val="Zwykytekst"/>
        <w:rPr>
          <w:szCs w:val="20"/>
        </w:rPr>
      </w:pPr>
    </w:p>
    <w:p w:rsidR="00DC1938" w:rsidRPr="00DC1938" w:rsidRDefault="00255661" w:rsidP="00DC1938">
      <w:pPr>
        <w:spacing w:after="0"/>
        <w:rPr>
          <w:rFonts w:ascii="Arial" w:hAnsi="Arial" w:cs="Arial"/>
          <w:b/>
          <w:sz w:val="20"/>
          <w:szCs w:val="20"/>
        </w:rPr>
      </w:pPr>
      <w:hyperlink r:id="rId9" w:history="1">
        <w:r w:rsidR="00DC1938" w:rsidRPr="00DC1938">
          <w:rPr>
            <w:rStyle w:val="Hipercze"/>
            <w:rFonts w:ascii="Arial" w:hAnsi="Arial" w:cs="Arial"/>
            <w:b/>
            <w:color w:val="auto"/>
            <w:sz w:val="20"/>
            <w:szCs w:val="20"/>
          </w:rPr>
          <w:t>Maciej Grelowski</w:t>
        </w:r>
      </w:hyperlink>
    </w:p>
    <w:p w:rsidR="00DC1938" w:rsidRDefault="00DC1938" w:rsidP="00DC1938">
      <w:pPr>
        <w:spacing w:after="0"/>
        <w:rPr>
          <w:rFonts w:ascii="Arial" w:hAnsi="Arial" w:cs="Arial"/>
          <w:sz w:val="20"/>
          <w:szCs w:val="20"/>
        </w:rPr>
      </w:pPr>
      <w:r w:rsidRPr="00DC1938">
        <w:rPr>
          <w:rFonts w:ascii="Arial" w:hAnsi="Arial" w:cs="Arial"/>
          <w:sz w:val="20"/>
          <w:szCs w:val="20"/>
        </w:rPr>
        <w:t>przewodniczący Rady Głównej BCC, ekspert gospodarczy</w:t>
      </w:r>
    </w:p>
    <w:p w:rsidR="00DC1938" w:rsidRPr="0021628C" w:rsidRDefault="00DC1938" w:rsidP="00DC1938">
      <w:pPr>
        <w:spacing w:after="0"/>
        <w:rPr>
          <w:rFonts w:ascii="Arial" w:hAnsi="Arial" w:cs="Arial"/>
          <w:sz w:val="20"/>
          <w:szCs w:val="20"/>
          <w:lang w:val="en-US"/>
        </w:rPr>
      </w:pPr>
      <w:r w:rsidRPr="0021628C">
        <w:rPr>
          <w:rFonts w:ascii="Arial" w:hAnsi="Arial" w:cs="Arial"/>
          <w:sz w:val="20"/>
          <w:szCs w:val="20"/>
          <w:lang w:val="en-US"/>
        </w:rPr>
        <w:t>tel. 502 333 330</w:t>
      </w:r>
    </w:p>
    <w:p w:rsidR="00DC1938" w:rsidRPr="0021628C" w:rsidRDefault="00DC1938" w:rsidP="00DC1938">
      <w:pPr>
        <w:spacing w:after="0"/>
        <w:rPr>
          <w:rStyle w:val="email"/>
          <w:rFonts w:ascii="Arial" w:hAnsi="Arial" w:cs="Arial"/>
          <w:sz w:val="20"/>
          <w:szCs w:val="20"/>
          <w:lang w:val="en-US"/>
        </w:rPr>
      </w:pPr>
      <w:r w:rsidRPr="00DC1938">
        <w:rPr>
          <w:rStyle w:val="label"/>
          <w:rFonts w:ascii="Arial" w:hAnsi="Arial" w:cs="Arial"/>
          <w:sz w:val="20"/>
          <w:szCs w:val="20"/>
          <w:lang w:val="en-US"/>
        </w:rPr>
        <w:t xml:space="preserve">e-mail: </w:t>
      </w:r>
      <w:hyperlink r:id="rId10" w:history="1">
        <w:r w:rsidR="0021628C" w:rsidRPr="006745EE">
          <w:rPr>
            <w:rStyle w:val="Hipercze"/>
            <w:rFonts w:ascii="Arial" w:hAnsi="Arial" w:cs="Arial"/>
            <w:sz w:val="20"/>
            <w:szCs w:val="20"/>
            <w:lang w:val="en-US"/>
          </w:rPr>
          <w:t>maciej.grelowski@bcc.org.p</w:t>
        </w:r>
        <w:r w:rsidR="0021628C" w:rsidRPr="0021628C">
          <w:rPr>
            <w:rStyle w:val="Hipercze"/>
            <w:rFonts w:ascii="Arial" w:hAnsi="Arial" w:cs="Arial"/>
            <w:sz w:val="20"/>
            <w:szCs w:val="20"/>
            <w:lang w:val="en-US"/>
          </w:rPr>
          <w:t>l</w:t>
        </w:r>
      </w:hyperlink>
    </w:p>
    <w:p w:rsidR="0021628C" w:rsidRPr="0021628C" w:rsidRDefault="0021628C" w:rsidP="0021628C">
      <w:pPr>
        <w:spacing w:after="0"/>
        <w:rPr>
          <w:rFonts w:ascii="Arial" w:hAnsi="Arial" w:cs="Arial"/>
          <w:sz w:val="20"/>
          <w:szCs w:val="20"/>
          <w:lang w:val="en-US"/>
        </w:rPr>
      </w:pPr>
    </w:p>
    <w:p w:rsidR="0021628C" w:rsidRPr="0021628C" w:rsidRDefault="0021628C" w:rsidP="0021628C">
      <w:pPr>
        <w:spacing w:after="0"/>
        <w:rPr>
          <w:rFonts w:ascii="Arial" w:hAnsi="Arial" w:cs="Arial"/>
          <w:b/>
          <w:sz w:val="20"/>
          <w:szCs w:val="20"/>
        </w:rPr>
      </w:pPr>
      <w:r w:rsidRPr="0021628C">
        <w:rPr>
          <w:rFonts w:ascii="Arial" w:hAnsi="Arial" w:cs="Arial"/>
          <w:b/>
          <w:sz w:val="20"/>
          <w:szCs w:val="20"/>
        </w:rPr>
        <w:t xml:space="preserve">Robert Łaniewski </w:t>
      </w:r>
    </w:p>
    <w:p w:rsidR="0021628C" w:rsidRPr="0021628C" w:rsidRDefault="0021628C" w:rsidP="0021628C">
      <w:pPr>
        <w:spacing w:after="0"/>
        <w:rPr>
          <w:rFonts w:ascii="Arial" w:hAnsi="Arial" w:cs="Arial"/>
          <w:sz w:val="20"/>
          <w:szCs w:val="20"/>
        </w:rPr>
      </w:pPr>
      <w:r w:rsidRPr="0021628C">
        <w:rPr>
          <w:rFonts w:ascii="Arial" w:hAnsi="Arial" w:cs="Arial"/>
          <w:sz w:val="20"/>
          <w:szCs w:val="20"/>
        </w:rPr>
        <w:t>Fundacja Rozwoju Obrotu Bezgotówkowego</w:t>
      </w:r>
    </w:p>
    <w:p w:rsidR="0021628C" w:rsidRPr="0021628C" w:rsidRDefault="0021628C" w:rsidP="0021628C">
      <w:pPr>
        <w:spacing w:after="0"/>
        <w:rPr>
          <w:rFonts w:ascii="Arial" w:hAnsi="Arial" w:cs="Arial"/>
          <w:sz w:val="20"/>
          <w:szCs w:val="20"/>
          <w:lang w:val="en-US"/>
        </w:rPr>
      </w:pPr>
      <w:r w:rsidRPr="0021628C">
        <w:rPr>
          <w:rFonts w:ascii="Arial" w:hAnsi="Arial" w:cs="Arial"/>
          <w:sz w:val="20"/>
          <w:szCs w:val="20"/>
          <w:lang w:val="en-US"/>
        </w:rPr>
        <w:t>tel. 884 824 864</w:t>
      </w:r>
    </w:p>
    <w:p w:rsidR="0021628C" w:rsidRDefault="0021628C" w:rsidP="0021628C">
      <w:pPr>
        <w:spacing w:after="0"/>
        <w:rPr>
          <w:rStyle w:val="label"/>
          <w:rFonts w:ascii="Arial" w:hAnsi="Arial" w:cs="Arial"/>
          <w:sz w:val="20"/>
          <w:szCs w:val="20"/>
          <w:lang w:val="en-US"/>
        </w:rPr>
      </w:pPr>
      <w:r w:rsidRPr="00DC1938">
        <w:rPr>
          <w:rStyle w:val="label"/>
          <w:rFonts w:ascii="Arial" w:hAnsi="Arial" w:cs="Arial"/>
          <w:sz w:val="20"/>
          <w:szCs w:val="20"/>
          <w:lang w:val="en-US"/>
        </w:rPr>
        <w:t xml:space="preserve">e-mail: </w:t>
      </w:r>
      <w:hyperlink r:id="rId11" w:history="1">
        <w:r w:rsidRPr="006745EE">
          <w:rPr>
            <w:rStyle w:val="Hipercze"/>
            <w:rFonts w:ascii="Arial" w:hAnsi="Arial" w:cs="Arial"/>
            <w:sz w:val="20"/>
            <w:szCs w:val="20"/>
            <w:lang w:val="en-US"/>
          </w:rPr>
          <w:t>robert.laniewski@frob.pl</w:t>
        </w:r>
      </w:hyperlink>
    </w:p>
    <w:p w:rsidR="00260E44" w:rsidRPr="00DC1938" w:rsidRDefault="00260E44" w:rsidP="00260E44">
      <w:pPr>
        <w:pStyle w:val="Zwykytekst"/>
        <w:rPr>
          <w:rFonts w:ascii="Arial" w:hAnsi="Arial" w:cs="Arial"/>
          <w:sz w:val="22"/>
          <w:szCs w:val="22"/>
          <w:lang w:val="en-US"/>
        </w:rPr>
      </w:pPr>
    </w:p>
    <w:p w:rsidR="00260E44" w:rsidRPr="00260E44" w:rsidRDefault="00260E44" w:rsidP="00260E44">
      <w:pPr>
        <w:pStyle w:val="Zwykytekst"/>
        <w:rPr>
          <w:rFonts w:ascii="Arial" w:hAnsi="Arial" w:cs="Arial"/>
          <w:sz w:val="20"/>
          <w:szCs w:val="20"/>
        </w:rPr>
      </w:pPr>
      <w:r w:rsidRPr="00260E44">
        <w:rPr>
          <w:rFonts w:ascii="Arial" w:hAnsi="Arial" w:cs="Arial"/>
          <w:sz w:val="20"/>
          <w:szCs w:val="20"/>
        </w:rPr>
        <w:t>Emil Muciński</w:t>
      </w:r>
    </w:p>
    <w:p w:rsidR="00260E44" w:rsidRPr="00260E44" w:rsidRDefault="00260E44" w:rsidP="00260E44">
      <w:pPr>
        <w:pStyle w:val="Zwykytekst"/>
        <w:rPr>
          <w:rFonts w:ascii="Arial" w:hAnsi="Arial" w:cs="Arial"/>
          <w:sz w:val="20"/>
          <w:szCs w:val="20"/>
        </w:rPr>
      </w:pPr>
      <w:r w:rsidRPr="00260E44">
        <w:rPr>
          <w:rFonts w:ascii="Arial" w:hAnsi="Arial" w:cs="Arial"/>
          <w:sz w:val="20"/>
          <w:szCs w:val="20"/>
        </w:rPr>
        <w:t>rzecznik</w:t>
      </w:r>
    </w:p>
    <w:p w:rsidR="00260E44" w:rsidRPr="00260E44" w:rsidRDefault="00260E44" w:rsidP="00260E44">
      <w:pPr>
        <w:pStyle w:val="Zwykytekst"/>
        <w:rPr>
          <w:rFonts w:ascii="Arial" w:hAnsi="Arial" w:cs="Arial"/>
          <w:sz w:val="20"/>
          <w:szCs w:val="20"/>
        </w:rPr>
      </w:pPr>
      <w:r w:rsidRPr="00260E44">
        <w:rPr>
          <w:rFonts w:ascii="Arial" w:hAnsi="Arial" w:cs="Arial"/>
          <w:sz w:val="20"/>
          <w:szCs w:val="20"/>
        </w:rPr>
        <w:t>Instytut Interwencji Gospodarczych BCC</w:t>
      </w:r>
    </w:p>
    <w:p w:rsidR="00260E44" w:rsidRPr="00260E44" w:rsidRDefault="00260E44" w:rsidP="00260E44">
      <w:pPr>
        <w:pStyle w:val="Zwykytekst"/>
        <w:rPr>
          <w:rFonts w:ascii="Arial" w:hAnsi="Arial" w:cs="Arial"/>
          <w:sz w:val="20"/>
          <w:szCs w:val="20"/>
          <w:lang w:val="en-US"/>
        </w:rPr>
      </w:pPr>
      <w:r w:rsidRPr="00260E44">
        <w:rPr>
          <w:rFonts w:ascii="Arial" w:hAnsi="Arial" w:cs="Arial"/>
          <w:sz w:val="20"/>
          <w:szCs w:val="20"/>
          <w:lang w:val="en-US"/>
        </w:rPr>
        <w:t>tel. 602 571 395, 22 58 26 113</w:t>
      </w:r>
    </w:p>
    <w:p w:rsidR="00260E44" w:rsidRPr="005E1E96" w:rsidRDefault="00260E44" w:rsidP="00260E44">
      <w:pPr>
        <w:pStyle w:val="Zwykytekst"/>
        <w:rPr>
          <w:rFonts w:ascii="Arial" w:hAnsi="Arial" w:cs="Arial"/>
          <w:sz w:val="20"/>
          <w:szCs w:val="20"/>
          <w:lang w:val="en-US"/>
        </w:rPr>
      </w:pPr>
      <w:r w:rsidRPr="00260E44">
        <w:rPr>
          <w:rFonts w:ascii="Arial" w:hAnsi="Arial" w:cs="Arial"/>
          <w:sz w:val="20"/>
          <w:szCs w:val="20"/>
          <w:lang w:val="en-US"/>
        </w:rPr>
        <w:t xml:space="preserve">e-mail: </w:t>
      </w:r>
      <w:hyperlink r:id="rId12" w:history="1">
        <w:r w:rsidRPr="00260E44">
          <w:rPr>
            <w:rStyle w:val="Hipercze"/>
            <w:rFonts w:ascii="Arial" w:hAnsi="Arial" w:cs="Arial"/>
            <w:sz w:val="20"/>
            <w:szCs w:val="20"/>
            <w:lang w:val="en-US"/>
          </w:rPr>
          <w:t>emil.mucinski@bcc.org.pl</w:t>
        </w:r>
      </w:hyperlink>
      <w:r w:rsidRPr="00260E44">
        <w:rPr>
          <w:rFonts w:ascii="Arial" w:hAnsi="Arial" w:cs="Arial"/>
          <w:sz w:val="20"/>
          <w:szCs w:val="20"/>
          <w:lang w:val="en-US"/>
        </w:rPr>
        <w:t xml:space="preserve">; </w:t>
      </w:r>
      <w:hyperlink r:id="rId13" w:history="1">
        <w:r w:rsidRPr="00260E44">
          <w:rPr>
            <w:rStyle w:val="Hipercze"/>
            <w:rFonts w:ascii="Arial" w:hAnsi="Arial" w:cs="Arial"/>
            <w:sz w:val="20"/>
            <w:szCs w:val="20"/>
            <w:lang w:val="en-US"/>
          </w:rPr>
          <w:t>instytut@bcc.org.pl</w:t>
        </w:r>
      </w:hyperlink>
    </w:p>
    <w:sectPr w:rsidR="00260E44" w:rsidRPr="005E1E96" w:rsidSect="00564A9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A58D7"/>
    <w:multiLevelType w:val="hybridMultilevel"/>
    <w:tmpl w:val="B8C26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44"/>
    <w:rsid w:val="000053C2"/>
    <w:rsid w:val="00215F33"/>
    <w:rsid w:val="0021628C"/>
    <w:rsid w:val="00255661"/>
    <w:rsid w:val="00260E44"/>
    <w:rsid w:val="002C3FA8"/>
    <w:rsid w:val="00430D68"/>
    <w:rsid w:val="004745C9"/>
    <w:rsid w:val="00481373"/>
    <w:rsid w:val="00564A91"/>
    <w:rsid w:val="005E1E96"/>
    <w:rsid w:val="00726DA3"/>
    <w:rsid w:val="007343A6"/>
    <w:rsid w:val="009E3A88"/>
    <w:rsid w:val="00A9486D"/>
    <w:rsid w:val="00D47890"/>
    <w:rsid w:val="00DC1938"/>
    <w:rsid w:val="00EC7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260E44"/>
    <w:rPr>
      <w:strike w:val="0"/>
      <w:dstrike w:val="0"/>
      <w:color w:val="146CB4"/>
      <w:u w:val="none"/>
      <w:effect w:val="none"/>
    </w:rPr>
  </w:style>
  <w:style w:type="paragraph" w:styleId="Tytu">
    <w:name w:val="Title"/>
    <w:basedOn w:val="Normalny"/>
    <w:link w:val="TytuZnak"/>
    <w:qFormat/>
    <w:rsid w:val="00260E44"/>
    <w:pPr>
      <w:spacing w:after="0" w:line="240" w:lineRule="auto"/>
      <w:jc w:val="center"/>
    </w:pPr>
    <w:rPr>
      <w:rFonts w:ascii="Garamond" w:eastAsia="Times New Roman" w:hAnsi="Garamond" w:cs="Times New Roman"/>
      <w:b/>
      <w:bCs/>
      <w:spacing w:val="-24"/>
      <w:sz w:val="60"/>
      <w:szCs w:val="60"/>
      <w:lang w:val="en-US" w:eastAsia="pl-PL"/>
    </w:rPr>
  </w:style>
  <w:style w:type="character" w:customStyle="1" w:styleId="TytuZnak">
    <w:name w:val="Tytuł Znak"/>
    <w:basedOn w:val="Domylnaczcionkaakapitu"/>
    <w:link w:val="Tytu"/>
    <w:rsid w:val="00260E44"/>
    <w:rPr>
      <w:rFonts w:ascii="Garamond" w:eastAsia="Times New Roman" w:hAnsi="Garamond" w:cs="Times New Roman"/>
      <w:b/>
      <w:bCs/>
      <w:spacing w:val="-24"/>
      <w:sz w:val="60"/>
      <w:szCs w:val="60"/>
      <w:lang w:val="en-US" w:eastAsia="pl-PL"/>
    </w:rPr>
  </w:style>
  <w:style w:type="paragraph" w:styleId="Tekstpodstawowy">
    <w:name w:val="Body Text"/>
    <w:basedOn w:val="Normalny"/>
    <w:link w:val="TekstpodstawowyZnak"/>
    <w:rsid w:val="00260E44"/>
    <w:pPr>
      <w:spacing w:after="0" w:line="360" w:lineRule="auto"/>
    </w:pPr>
    <w:rPr>
      <w:rFonts w:ascii="Garamond" w:eastAsia="Times New Roman" w:hAnsi="Garamond" w:cs="Times New Roman"/>
      <w:sz w:val="24"/>
      <w:szCs w:val="24"/>
      <w:lang w:eastAsia="pl-PL"/>
    </w:rPr>
  </w:style>
  <w:style w:type="character" w:customStyle="1" w:styleId="TekstpodstawowyZnak">
    <w:name w:val="Tekst podstawowy Znak"/>
    <w:basedOn w:val="Domylnaczcionkaakapitu"/>
    <w:link w:val="Tekstpodstawowy"/>
    <w:rsid w:val="00260E44"/>
    <w:rPr>
      <w:rFonts w:ascii="Garamond" w:eastAsia="Times New Roman" w:hAnsi="Garamond" w:cs="Times New Roman"/>
      <w:sz w:val="24"/>
      <w:szCs w:val="24"/>
      <w:lang w:eastAsia="pl-PL"/>
    </w:rPr>
  </w:style>
  <w:style w:type="paragraph" w:styleId="Tekstpodstawowy2">
    <w:name w:val="Body Text 2"/>
    <w:basedOn w:val="Normalny"/>
    <w:link w:val="Tekstpodstawowy2Znak"/>
    <w:semiHidden/>
    <w:rsid w:val="00260E44"/>
    <w:pPr>
      <w:spacing w:after="0" w:line="240" w:lineRule="auto"/>
      <w:ind w:firstLine="708"/>
      <w:jc w:val="both"/>
    </w:pPr>
    <w:rPr>
      <w:rFonts w:ascii="Arial" w:eastAsia="Times New Roman" w:hAnsi="Arial" w:cs="Arial"/>
      <w:b/>
      <w:bCs/>
      <w:sz w:val="20"/>
      <w:szCs w:val="20"/>
      <w:lang w:eastAsia="pl-PL"/>
    </w:rPr>
  </w:style>
  <w:style w:type="character" w:customStyle="1" w:styleId="Tekstpodstawowy2Znak">
    <w:name w:val="Tekst podstawowy 2 Znak"/>
    <w:basedOn w:val="Domylnaczcionkaakapitu"/>
    <w:link w:val="Tekstpodstawowy2"/>
    <w:semiHidden/>
    <w:rsid w:val="00260E44"/>
    <w:rPr>
      <w:rFonts w:ascii="Arial" w:eastAsia="Times New Roman" w:hAnsi="Arial" w:cs="Arial"/>
      <w:b/>
      <w:bCs/>
      <w:sz w:val="20"/>
      <w:szCs w:val="20"/>
      <w:lang w:eastAsia="pl-PL"/>
    </w:rPr>
  </w:style>
  <w:style w:type="paragraph" w:styleId="Zwykytekst">
    <w:name w:val="Plain Text"/>
    <w:basedOn w:val="Normalny"/>
    <w:link w:val="ZwykytekstZnak"/>
    <w:rsid w:val="00260E44"/>
    <w:pPr>
      <w:spacing w:after="0" w:line="240" w:lineRule="auto"/>
    </w:pPr>
    <w:rPr>
      <w:rFonts w:ascii="Cambria" w:eastAsia="Arial Unicode MS" w:hAnsi="Cambria" w:cs="Arial Unicode MS"/>
      <w:sz w:val="21"/>
      <w:szCs w:val="21"/>
      <w:lang w:eastAsia="pl-PL"/>
    </w:rPr>
  </w:style>
  <w:style w:type="character" w:customStyle="1" w:styleId="ZwykytekstZnak">
    <w:name w:val="Zwykły tekst Znak"/>
    <w:basedOn w:val="Domylnaczcionkaakapitu"/>
    <w:link w:val="Zwykytekst"/>
    <w:rsid w:val="00260E44"/>
    <w:rPr>
      <w:rFonts w:ascii="Cambria" w:eastAsia="Arial Unicode MS" w:hAnsi="Cambria" w:cs="Arial Unicode MS"/>
      <w:sz w:val="21"/>
      <w:szCs w:val="21"/>
      <w:lang w:eastAsia="pl-PL"/>
    </w:rPr>
  </w:style>
  <w:style w:type="paragraph" w:styleId="Tekstdymka">
    <w:name w:val="Balloon Text"/>
    <w:basedOn w:val="Normalny"/>
    <w:link w:val="TekstdymkaZnak"/>
    <w:uiPriority w:val="99"/>
    <w:semiHidden/>
    <w:unhideWhenUsed/>
    <w:rsid w:val="00260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E44"/>
    <w:rPr>
      <w:rFonts w:ascii="Tahoma" w:hAnsi="Tahoma" w:cs="Tahoma"/>
      <w:sz w:val="16"/>
      <w:szCs w:val="16"/>
    </w:rPr>
  </w:style>
  <w:style w:type="paragraph" w:styleId="Bezodstpw">
    <w:name w:val="No Spacing"/>
    <w:uiPriority w:val="1"/>
    <w:qFormat/>
    <w:rsid w:val="00260E44"/>
    <w:pPr>
      <w:spacing w:after="0"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260E44"/>
    <w:pPr>
      <w:spacing w:after="0" w:line="240" w:lineRule="auto"/>
      <w:ind w:left="720"/>
      <w:contextualSpacing/>
    </w:pPr>
    <w:rPr>
      <w:rFonts w:ascii="Times New Roman" w:hAnsi="Times New Roman" w:cs="Times New Roman"/>
      <w:color w:val="000000"/>
      <w:sz w:val="24"/>
      <w:szCs w:val="24"/>
      <w:lang w:eastAsia="pl-PL"/>
    </w:rPr>
  </w:style>
  <w:style w:type="paragraph" w:styleId="NormalnyWeb">
    <w:name w:val="Normal (Web)"/>
    <w:basedOn w:val="Normalny"/>
    <w:uiPriority w:val="99"/>
    <w:unhideWhenUsed/>
    <w:rsid w:val="00260E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60E44"/>
    <w:rPr>
      <w:i/>
      <w:iCs/>
    </w:rPr>
  </w:style>
  <w:style w:type="paragraph" w:customStyle="1" w:styleId="Default">
    <w:name w:val="Default"/>
    <w:rsid w:val="00260E44"/>
    <w:pPr>
      <w:autoSpaceDE w:val="0"/>
      <w:autoSpaceDN w:val="0"/>
      <w:adjustRightInd w:val="0"/>
      <w:spacing w:after="0" w:line="240" w:lineRule="auto"/>
    </w:pPr>
    <w:rPr>
      <w:rFonts w:ascii="Calibri" w:hAnsi="Calibri" w:cs="Calibri"/>
      <w:color w:val="000000"/>
      <w:sz w:val="24"/>
      <w:szCs w:val="24"/>
    </w:rPr>
  </w:style>
  <w:style w:type="character" w:customStyle="1" w:styleId="label">
    <w:name w:val="label"/>
    <w:basedOn w:val="Domylnaczcionkaakapitu"/>
    <w:rsid w:val="00DC1938"/>
  </w:style>
  <w:style w:type="character" w:customStyle="1" w:styleId="email">
    <w:name w:val="email"/>
    <w:basedOn w:val="Domylnaczcionkaakapitu"/>
    <w:rsid w:val="00DC1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260E44"/>
    <w:rPr>
      <w:strike w:val="0"/>
      <w:dstrike w:val="0"/>
      <w:color w:val="146CB4"/>
      <w:u w:val="none"/>
      <w:effect w:val="none"/>
    </w:rPr>
  </w:style>
  <w:style w:type="paragraph" w:styleId="Tytu">
    <w:name w:val="Title"/>
    <w:basedOn w:val="Normalny"/>
    <w:link w:val="TytuZnak"/>
    <w:qFormat/>
    <w:rsid w:val="00260E44"/>
    <w:pPr>
      <w:spacing w:after="0" w:line="240" w:lineRule="auto"/>
      <w:jc w:val="center"/>
    </w:pPr>
    <w:rPr>
      <w:rFonts w:ascii="Garamond" w:eastAsia="Times New Roman" w:hAnsi="Garamond" w:cs="Times New Roman"/>
      <w:b/>
      <w:bCs/>
      <w:spacing w:val="-24"/>
      <w:sz w:val="60"/>
      <w:szCs w:val="60"/>
      <w:lang w:val="en-US" w:eastAsia="pl-PL"/>
    </w:rPr>
  </w:style>
  <w:style w:type="character" w:customStyle="1" w:styleId="TytuZnak">
    <w:name w:val="Tytuł Znak"/>
    <w:basedOn w:val="Domylnaczcionkaakapitu"/>
    <w:link w:val="Tytu"/>
    <w:rsid w:val="00260E44"/>
    <w:rPr>
      <w:rFonts w:ascii="Garamond" w:eastAsia="Times New Roman" w:hAnsi="Garamond" w:cs="Times New Roman"/>
      <w:b/>
      <w:bCs/>
      <w:spacing w:val="-24"/>
      <w:sz w:val="60"/>
      <w:szCs w:val="60"/>
      <w:lang w:val="en-US" w:eastAsia="pl-PL"/>
    </w:rPr>
  </w:style>
  <w:style w:type="paragraph" w:styleId="Tekstpodstawowy">
    <w:name w:val="Body Text"/>
    <w:basedOn w:val="Normalny"/>
    <w:link w:val="TekstpodstawowyZnak"/>
    <w:rsid w:val="00260E44"/>
    <w:pPr>
      <w:spacing w:after="0" w:line="360" w:lineRule="auto"/>
    </w:pPr>
    <w:rPr>
      <w:rFonts w:ascii="Garamond" w:eastAsia="Times New Roman" w:hAnsi="Garamond" w:cs="Times New Roman"/>
      <w:sz w:val="24"/>
      <w:szCs w:val="24"/>
      <w:lang w:eastAsia="pl-PL"/>
    </w:rPr>
  </w:style>
  <w:style w:type="character" w:customStyle="1" w:styleId="TekstpodstawowyZnak">
    <w:name w:val="Tekst podstawowy Znak"/>
    <w:basedOn w:val="Domylnaczcionkaakapitu"/>
    <w:link w:val="Tekstpodstawowy"/>
    <w:rsid w:val="00260E44"/>
    <w:rPr>
      <w:rFonts w:ascii="Garamond" w:eastAsia="Times New Roman" w:hAnsi="Garamond" w:cs="Times New Roman"/>
      <w:sz w:val="24"/>
      <w:szCs w:val="24"/>
      <w:lang w:eastAsia="pl-PL"/>
    </w:rPr>
  </w:style>
  <w:style w:type="paragraph" w:styleId="Tekstpodstawowy2">
    <w:name w:val="Body Text 2"/>
    <w:basedOn w:val="Normalny"/>
    <w:link w:val="Tekstpodstawowy2Znak"/>
    <w:semiHidden/>
    <w:rsid w:val="00260E44"/>
    <w:pPr>
      <w:spacing w:after="0" w:line="240" w:lineRule="auto"/>
      <w:ind w:firstLine="708"/>
      <w:jc w:val="both"/>
    </w:pPr>
    <w:rPr>
      <w:rFonts w:ascii="Arial" w:eastAsia="Times New Roman" w:hAnsi="Arial" w:cs="Arial"/>
      <w:b/>
      <w:bCs/>
      <w:sz w:val="20"/>
      <w:szCs w:val="20"/>
      <w:lang w:eastAsia="pl-PL"/>
    </w:rPr>
  </w:style>
  <w:style w:type="character" w:customStyle="1" w:styleId="Tekstpodstawowy2Znak">
    <w:name w:val="Tekst podstawowy 2 Znak"/>
    <w:basedOn w:val="Domylnaczcionkaakapitu"/>
    <w:link w:val="Tekstpodstawowy2"/>
    <w:semiHidden/>
    <w:rsid w:val="00260E44"/>
    <w:rPr>
      <w:rFonts w:ascii="Arial" w:eastAsia="Times New Roman" w:hAnsi="Arial" w:cs="Arial"/>
      <w:b/>
      <w:bCs/>
      <w:sz w:val="20"/>
      <w:szCs w:val="20"/>
      <w:lang w:eastAsia="pl-PL"/>
    </w:rPr>
  </w:style>
  <w:style w:type="paragraph" w:styleId="Zwykytekst">
    <w:name w:val="Plain Text"/>
    <w:basedOn w:val="Normalny"/>
    <w:link w:val="ZwykytekstZnak"/>
    <w:rsid w:val="00260E44"/>
    <w:pPr>
      <w:spacing w:after="0" w:line="240" w:lineRule="auto"/>
    </w:pPr>
    <w:rPr>
      <w:rFonts w:ascii="Cambria" w:eastAsia="Arial Unicode MS" w:hAnsi="Cambria" w:cs="Arial Unicode MS"/>
      <w:sz w:val="21"/>
      <w:szCs w:val="21"/>
      <w:lang w:eastAsia="pl-PL"/>
    </w:rPr>
  </w:style>
  <w:style w:type="character" w:customStyle="1" w:styleId="ZwykytekstZnak">
    <w:name w:val="Zwykły tekst Znak"/>
    <w:basedOn w:val="Domylnaczcionkaakapitu"/>
    <w:link w:val="Zwykytekst"/>
    <w:rsid w:val="00260E44"/>
    <w:rPr>
      <w:rFonts w:ascii="Cambria" w:eastAsia="Arial Unicode MS" w:hAnsi="Cambria" w:cs="Arial Unicode MS"/>
      <w:sz w:val="21"/>
      <w:szCs w:val="21"/>
      <w:lang w:eastAsia="pl-PL"/>
    </w:rPr>
  </w:style>
  <w:style w:type="paragraph" w:styleId="Tekstdymka">
    <w:name w:val="Balloon Text"/>
    <w:basedOn w:val="Normalny"/>
    <w:link w:val="TekstdymkaZnak"/>
    <w:uiPriority w:val="99"/>
    <w:semiHidden/>
    <w:unhideWhenUsed/>
    <w:rsid w:val="00260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E44"/>
    <w:rPr>
      <w:rFonts w:ascii="Tahoma" w:hAnsi="Tahoma" w:cs="Tahoma"/>
      <w:sz w:val="16"/>
      <w:szCs w:val="16"/>
    </w:rPr>
  </w:style>
  <w:style w:type="paragraph" w:styleId="Bezodstpw">
    <w:name w:val="No Spacing"/>
    <w:uiPriority w:val="1"/>
    <w:qFormat/>
    <w:rsid w:val="00260E44"/>
    <w:pPr>
      <w:spacing w:after="0"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260E44"/>
    <w:pPr>
      <w:spacing w:after="0" w:line="240" w:lineRule="auto"/>
      <w:ind w:left="720"/>
      <w:contextualSpacing/>
    </w:pPr>
    <w:rPr>
      <w:rFonts w:ascii="Times New Roman" w:hAnsi="Times New Roman" w:cs="Times New Roman"/>
      <w:color w:val="000000"/>
      <w:sz w:val="24"/>
      <w:szCs w:val="24"/>
      <w:lang w:eastAsia="pl-PL"/>
    </w:rPr>
  </w:style>
  <w:style w:type="paragraph" w:styleId="NormalnyWeb">
    <w:name w:val="Normal (Web)"/>
    <w:basedOn w:val="Normalny"/>
    <w:uiPriority w:val="99"/>
    <w:unhideWhenUsed/>
    <w:rsid w:val="00260E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60E44"/>
    <w:rPr>
      <w:i/>
      <w:iCs/>
    </w:rPr>
  </w:style>
  <w:style w:type="paragraph" w:customStyle="1" w:styleId="Default">
    <w:name w:val="Default"/>
    <w:rsid w:val="00260E44"/>
    <w:pPr>
      <w:autoSpaceDE w:val="0"/>
      <w:autoSpaceDN w:val="0"/>
      <w:adjustRightInd w:val="0"/>
      <w:spacing w:after="0" w:line="240" w:lineRule="auto"/>
    </w:pPr>
    <w:rPr>
      <w:rFonts w:ascii="Calibri" w:hAnsi="Calibri" w:cs="Calibri"/>
      <w:color w:val="000000"/>
      <w:sz w:val="24"/>
      <w:szCs w:val="24"/>
    </w:rPr>
  </w:style>
  <w:style w:type="character" w:customStyle="1" w:styleId="label">
    <w:name w:val="label"/>
    <w:basedOn w:val="Domylnaczcionkaakapitu"/>
    <w:rsid w:val="00DC1938"/>
  </w:style>
  <w:style w:type="character" w:customStyle="1" w:styleId="email">
    <w:name w:val="email"/>
    <w:basedOn w:val="Domylnaczcionkaakapitu"/>
    <w:rsid w:val="00DC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2439">
      <w:bodyDiv w:val="1"/>
      <w:marLeft w:val="0"/>
      <w:marRight w:val="0"/>
      <w:marTop w:val="0"/>
      <w:marBottom w:val="0"/>
      <w:divBdr>
        <w:top w:val="none" w:sz="0" w:space="0" w:color="auto"/>
        <w:left w:val="none" w:sz="0" w:space="0" w:color="auto"/>
        <w:bottom w:val="none" w:sz="0" w:space="0" w:color="auto"/>
        <w:right w:val="none" w:sz="0" w:space="0" w:color="auto"/>
      </w:divBdr>
    </w:div>
    <w:div w:id="1817918519">
      <w:bodyDiv w:val="1"/>
      <w:marLeft w:val="0"/>
      <w:marRight w:val="0"/>
      <w:marTop w:val="0"/>
      <w:marBottom w:val="0"/>
      <w:divBdr>
        <w:top w:val="none" w:sz="0" w:space="0" w:color="auto"/>
        <w:left w:val="none" w:sz="0" w:space="0" w:color="auto"/>
        <w:bottom w:val="none" w:sz="0" w:space="0" w:color="auto"/>
        <w:right w:val="none" w:sz="0" w:space="0" w:color="auto"/>
      </w:divBdr>
      <w:divsChild>
        <w:div w:id="1265460559">
          <w:marLeft w:val="0"/>
          <w:marRight w:val="0"/>
          <w:marTop w:val="0"/>
          <w:marBottom w:val="0"/>
          <w:divBdr>
            <w:top w:val="none" w:sz="0" w:space="0" w:color="auto"/>
            <w:left w:val="none" w:sz="0" w:space="0" w:color="auto"/>
            <w:bottom w:val="none" w:sz="0" w:space="0" w:color="auto"/>
            <w:right w:val="none" w:sz="0" w:space="0" w:color="auto"/>
          </w:divBdr>
        </w:div>
        <w:div w:id="2015643539">
          <w:marLeft w:val="0"/>
          <w:marRight w:val="0"/>
          <w:marTop w:val="0"/>
          <w:marBottom w:val="0"/>
          <w:divBdr>
            <w:top w:val="none" w:sz="0" w:space="0" w:color="auto"/>
            <w:left w:val="none" w:sz="0" w:space="0" w:color="auto"/>
            <w:bottom w:val="none" w:sz="0" w:space="0" w:color="auto"/>
            <w:right w:val="none" w:sz="0" w:space="0" w:color="auto"/>
          </w:divBdr>
          <w:divsChild>
            <w:div w:id="978530938">
              <w:marLeft w:val="0"/>
              <w:marRight w:val="0"/>
              <w:marTop w:val="0"/>
              <w:marBottom w:val="0"/>
              <w:divBdr>
                <w:top w:val="none" w:sz="0" w:space="0" w:color="auto"/>
                <w:left w:val="none" w:sz="0" w:space="0" w:color="auto"/>
                <w:bottom w:val="none" w:sz="0" w:space="0" w:color="auto"/>
                <w:right w:val="none" w:sz="0" w:space="0" w:color="auto"/>
              </w:divBdr>
            </w:div>
            <w:div w:id="159319449">
              <w:marLeft w:val="0"/>
              <w:marRight w:val="0"/>
              <w:marTop w:val="0"/>
              <w:marBottom w:val="0"/>
              <w:divBdr>
                <w:top w:val="none" w:sz="0" w:space="0" w:color="auto"/>
                <w:left w:val="none" w:sz="0" w:space="0" w:color="auto"/>
                <w:bottom w:val="none" w:sz="0" w:space="0" w:color="auto"/>
                <w:right w:val="none" w:sz="0" w:space="0" w:color="auto"/>
              </w:divBdr>
            </w:div>
            <w:div w:id="14085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44">
      <w:bodyDiv w:val="1"/>
      <w:marLeft w:val="0"/>
      <w:marRight w:val="0"/>
      <w:marTop w:val="0"/>
      <w:marBottom w:val="0"/>
      <w:divBdr>
        <w:top w:val="none" w:sz="0" w:space="0" w:color="auto"/>
        <w:left w:val="none" w:sz="0" w:space="0" w:color="auto"/>
        <w:bottom w:val="none" w:sz="0" w:space="0" w:color="auto"/>
        <w:right w:val="none" w:sz="0" w:space="0" w:color="auto"/>
      </w:divBdr>
      <w:divsChild>
        <w:div w:id="840662770">
          <w:marLeft w:val="0"/>
          <w:marRight w:val="0"/>
          <w:marTop w:val="0"/>
          <w:marBottom w:val="0"/>
          <w:divBdr>
            <w:top w:val="none" w:sz="0" w:space="0" w:color="auto"/>
            <w:left w:val="none" w:sz="0" w:space="0" w:color="auto"/>
            <w:bottom w:val="none" w:sz="0" w:space="0" w:color="auto"/>
            <w:right w:val="none" w:sz="0" w:space="0" w:color="auto"/>
          </w:divBdr>
        </w:div>
        <w:div w:id="2040546602">
          <w:marLeft w:val="0"/>
          <w:marRight w:val="0"/>
          <w:marTop w:val="0"/>
          <w:marBottom w:val="0"/>
          <w:divBdr>
            <w:top w:val="none" w:sz="0" w:space="0" w:color="auto"/>
            <w:left w:val="none" w:sz="0" w:space="0" w:color="auto"/>
            <w:bottom w:val="none" w:sz="0" w:space="0" w:color="auto"/>
            <w:right w:val="none" w:sz="0" w:space="0" w:color="auto"/>
          </w:divBdr>
          <w:divsChild>
            <w:div w:id="1115905189">
              <w:marLeft w:val="0"/>
              <w:marRight w:val="0"/>
              <w:marTop w:val="0"/>
              <w:marBottom w:val="0"/>
              <w:divBdr>
                <w:top w:val="none" w:sz="0" w:space="0" w:color="auto"/>
                <w:left w:val="none" w:sz="0" w:space="0" w:color="auto"/>
                <w:bottom w:val="none" w:sz="0" w:space="0" w:color="auto"/>
                <w:right w:val="none" w:sz="0" w:space="0" w:color="auto"/>
              </w:divBdr>
            </w:div>
            <w:div w:id="1154756644">
              <w:marLeft w:val="0"/>
              <w:marRight w:val="0"/>
              <w:marTop w:val="0"/>
              <w:marBottom w:val="0"/>
              <w:divBdr>
                <w:top w:val="none" w:sz="0" w:space="0" w:color="auto"/>
                <w:left w:val="none" w:sz="0" w:space="0" w:color="auto"/>
                <w:bottom w:val="none" w:sz="0" w:space="0" w:color="auto"/>
                <w:right w:val="none" w:sz="0" w:space="0" w:color="auto"/>
              </w:divBdr>
            </w:div>
            <w:div w:id="15899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stytut@bcc.org.p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emil.mucinski@bcc.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laniewski@frob.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ciej.grelowski@bcc.org.pl" TargetMode="External"/><Relationship Id="rId4" Type="http://schemas.microsoft.com/office/2007/relationships/stylesWithEffects" Target="stylesWithEffects.xml"/><Relationship Id="rId9" Type="http://schemas.openxmlformats.org/officeDocument/2006/relationships/hyperlink" Target="http://www.bcc.org.pl/Szczegoly-profilu-osoby.3188+M5bb14fc81bf.0.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D7C0-BD2F-4574-90B0-11FCC28E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10061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Muciński</dc:creator>
  <cp:lastModifiedBy>Emil Muciński</cp:lastModifiedBy>
  <cp:revision>3</cp:revision>
  <dcterms:created xsi:type="dcterms:W3CDTF">2013-06-10T06:56:00Z</dcterms:created>
  <dcterms:modified xsi:type="dcterms:W3CDTF">2013-06-10T06:57:00Z</dcterms:modified>
</cp:coreProperties>
</file>